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tc>
          <w:tcPr>
            <w:tcW w:w="4786" w:type="dxa"/>
            <w:gridSpan w:val="3"/>
          </w:tcPr>
          <w:p w:rsidR="005D706B" w:rsidRPr="00EC47F2" w:rsidRDefault="00BB22E1">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A10EB0">
              <w:rPr>
                <w:rFonts w:ascii="Verdana" w:hAnsi="Verdana"/>
                <w:sz w:val="16"/>
              </w:rPr>
              <w:t>M</w:t>
            </w:r>
            <w:r w:rsidR="008B146B">
              <w:rPr>
                <w:rFonts w:ascii="Verdana" w:hAnsi="Verdana"/>
                <w:sz w:val="16"/>
              </w:rPr>
              <w:t>onika Thollefsen</w:t>
            </w:r>
          </w:p>
          <w:p w:rsidR="005D706B" w:rsidRDefault="008B146B">
            <w:pPr>
              <w:tabs>
                <w:tab w:val="left" w:pos="4537"/>
                <w:tab w:val="left" w:pos="6804"/>
              </w:tabs>
              <w:ind w:right="-72"/>
              <w:rPr>
                <w:rFonts w:ascii="Verdana" w:hAnsi="Verdana"/>
                <w:noProof/>
                <w:sz w:val="16"/>
                <w:szCs w:val="16"/>
              </w:rPr>
            </w:pPr>
            <w:r>
              <w:rPr>
                <w:rFonts w:ascii="Verdana" w:hAnsi="Verdana"/>
                <w:noProof/>
                <w:sz w:val="16"/>
                <w:szCs w:val="16"/>
              </w:rPr>
              <w:t>Tlf: 23 30 27 04</w:t>
            </w:r>
          </w:p>
          <w:p w:rsidR="00D81BEE" w:rsidRDefault="00D81BEE">
            <w:pPr>
              <w:tabs>
                <w:tab w:val="left" w:pos="4537"/>
                <w:tab w:val="left" w:pos="6804"/>
              </w:tabs>
              <w:ind w:right="-72"/>
              <w:rPr>
                <w:rFonts w:ascii="Verdana" w:hAnsi="Verdana"/>
                <w:noProof/>
                <w:sz w:val="16"/>
                <w:szCs w:val="16"/>
              </w:rPr>
            </w:pPr>
            <w:r>
              <w:rPr>
                <w:rFonts w:ascii="Verdana" w:hAnsi="Verdana"/>
                <w:noProof/>
                <w:sz w:val="16"/>
                <w:szCs w:val="16"/>
              </w:rPr>
              <w:t xml:space="preserve">Mail: </w:t>
            </w:r>
            <w:hyperlink r:id="rId8" w:history="1">
              <w:r w:rsidR="008B146B" w:rsidRPr="00345D79">
                <w:rPr>
                  <w:rStyle w:val="Hyperkobling"/>
                  <w:rFonts w:ascii="Verdana" w:hAnsi="Verdana"/>
                  <w:noProof/>
                  <w:sz w:val="16"/>
                  <w:szCs w:val="16"/>
                </w:rPr>
                <w:t>mot@udir.no</w:t>
              </w:r>
            </w:hyperlink>
          </w:p>
          <w:p w:rsidR="00D81BEE" w:rsidRPr="00EC47F2" w:rsidRDefault="00D81BEE">
            <w:pPr>
              <w:tabs>
                <w:tab w:val="left" w:pos="4537"/>
                <w:tab w:val="left" w:pos="6804"/>
              </w:tabs>
              <w:ind w:right="-72"/>
              <w:rPr>
                <w:rFonts w:ascii="Verdana" w:hAnsi="Verdana"/>
                <w:noProof/>
                <w:sz w:val="16"/>
                <w:szCs w:val="16"/>
              </w:rPr>
            </w:pPr>
          </w:p>
        </w:tc>
        <w:tc>
          <w:tcPr>
            <w:tcW w:w="1276" w:type="dxa"/>
            <w:gridSpan w:val="2"/>
          </w:tcPr>
          <w:p w:rsidR="005D706B" w:rsidRPr="004736D7" w:rsidRDefault="005D706B">
            <w:pPr>
              <w:rPr>
                <w:rFonts w:ascii="Verdana" w:hAnsi="Verdana"/>
              </w:rPr>
            </w:pPr>
          </w:p>
          <w:p w:rsidR="005D706B" w:rsidRDefault="00BB22E1">
            <w:pPr>
              <w:rPr>
                <w:rFonts w:ascii="Verdana" w:hAnsi="Verdana"/>
                <w:sz w:val="16"/>
              </w:rPr>
            </w:pPr>
            <w:r>
              <w:rPr>
                <w:rFonts w:ascii="Verdana" w:hAnsi="Verdana"/>
                <w:sz w:val="16"/>
              </w:rPr>
              <w:t>Vår dato:</w:t>
            </w:r>
          </w:p>
          <w:p w:rsidR="008B146B" w:rsidRDefault="004A565C" w:rsidP="005D706B">
            <w:pPr>
              <w:rPr>
                <w:rFonts w:ascii="Verdana" w:hAnsi="Verdana"/>
                <w:sz w:val="16"/>
              </w:rPr>
            </w:pPr>
            <w:r>
              <w:rPr>
                <w:rFonts w:ascii="Verdana" w:hAnsi="Verdana"/>
                <w:sz w:val="16"/>
              </w:rPr>
              <w:t>20.09</w:t>
            </w:r>
            <w:r w:rsidR="009B508A">
              <w:rPr>
                <w:rFonts w:ascii="Verdana" w:hAnsi="Verdana"/>
                <w:sz w:val="16"/>
              </w:rPr>
              <w:t>.2016</w:t>
            </w:r>
          </w:p>
          <w:p w:rsidR="005D706B" w:rsidRPr="00EC47F2" w:rsidRDefault="00BB22E1" w:rsidP="005D706B">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5D706B" w:rsidRDefault="009B508A">
            <w:pPr>
              <w:rPr>
                <w:rFonts w:ascii="Verdana" w:hAnsi="Verdana"/>
                <w:noProof/>
                <w:sz w:val="16"/>
              </w:rPr>
            </w:pPr>
            <w:r>
              <w:rPr>
                <w:rFonts w:ascii="Verdana" w:hAnsi="Verdana"/>
                <w:noProof/>
                <w:sz w:val="16"/>
              </w:rPr>
              <w:t>2016</w:t>
            </w:r>
            <w:r w:rsidR="008B146B">
              <w:rPr>
                <w:rFonts w:ascii="Verdana" w:hAnsi="Verdana"/>
                <w:noProof/>
                <w:sz w:val="16"/>
              </w:rPr>
              <w:t>/</w:t>
            </w:r>
            <w:r w:rsidR="004A565C">
              <w:rPr>
                <w:rFonts w:ascii="Verdana" w:hAnsi="Verdana"/>
                <w:noProof/>
                <w:sz w:val="16"/>
              </w:rPr>
              <w:t>149</w:t>
            </w:r>
          </w:p>
          <w:p w:rsidR="005D706B" w:rsidRPr="00EC47F2" w:rsidRDefault="005D706B">
            <w:pPr>
              <w:rPr>
                <w:rFonts w:ascii="Verdana" w:hAnsi="Verdana"/>
                <w:noProof/>
                <w:sz w:val="16"/>
              </w:rPr>
            </w:pPr>
          </w:p>
        </w:tc>
        <w:tc>
          <w:tcPr>
            <w:tcW w:w="1276" w:type="dxa"/>
          </w:tcPr>
          <w:p w:rsidR="005D706B" w:rsidRPr="004736D7" w:rsidRDefault="005D706B">
            <w:pPr>
              <w:rPr>
                <w:rFonts w:ascii="Verdana" w:hAnsi="Verdana"/>
              </w:rPr>
            </w:pPr>
          </w:p>
          <w:p w:rsidR="005D706B" w:rsidRDefault="00BB22E1" w:rsidP="005D706B">
            <w:pPr>
              <w:rPr>
                <w:rFonts w:ascii="Verdana" w:hAnsi="Verdana"/>
                <w:sz w:val="16"/>
              </w:rPr>
            </w:pPr>
            <w:r w:rsidRPr="00EC47F2">
              <w:rPr>
                <w:rFonts w:ascii="Verdana" w:hAnsi="Verdana"/>
                <w:sz w:val="16"/>
              </w:rPr>
              <w:t>Deres dato:</w:t>
            </w:r>
          </w:p>
          <w:p w:rsidR="005D706B" w:rsidRPr="00EC47F2" w:rsidRDefault="005D706B">
            <w:pPr>
              <w:rPr>
                <w:rFonts w:ascii="Verdana" w:hAnsi="Verdana"/>
                <w:sz w:val="16"/>
              </w:rPr>
            </w:pPr>
            <w:bookmarkStart w:id="0" w:name="REFDATO"/>
            <w:bookmarkEnd w:id="0"/>
          </w:p>
          <w:p w:rsidR="005D706B" w:rsidRPr="00EC47F2" w:rsidRDefault="00BB22E1">
            <w:pPr>
              <w:rPr>
                <w:rFonts w:ascii="Verdana" w:hAnsi="Verdana"/>
                <w:sz w:val="16"/>
              </w:rPr>
            </w:pPr>
            <w:r>
              <w:rPr>
                <w:rFonts w:ascii="Verdana" w:hAnsi="Verdana"/>
                <w:sz w:val="16"/>
              </w:rPr>
              <w:t>Deres referanse:</w:t>
            </w:r>
          </w:p>
          <w:p w:rsidR="005D706B" w:rsidRPr="00EC47F2" w:rsidRDefault="005D706B">
            <w:pPr>
              <w:rPr>
                <w:rFonts w:ascii="Verdana" w:hAnsi="Verdana"/>
                <w:noProof/>
                <w:sz w:val="16"/>
              </w:rPr>
            </w:pPr>
            <w:bookmarkStart w:id="1" w:name="REF"/>
            <w:bookmarkEnd w:id="1"/>
          </w:p>
        </w:tc>
        <w:tc>
          <w:tcPr>
            <w:tcW w:w="2870" w:type="dxa"/>
          </w:tcPr>
          <w:p w:rsidR="005D706B" w:rsidRPr="00EC47F2" w:rsidRDefault="008B146B" w:rsidP="005D706B">
            <w:pPr>
              <w:jc w:val="right"/>
              <w:rPr>
                <w:rFonts w:ascii="Verdana" w:hAnsi="Verdana"/>
                <w:sz w:val="16"/>
              </w:rPr>
            </w:pPr>
            <w:r>
              <w:rPr>
                <w:rFonts w:ascii="Verdana" w:hAnsi="Verdana"/>
                <w:noProof/>
                <w:sz w:val="16"/>
              </w:rPr>
              <w:drawing>
                <wp:inline distT="0" distB="0" distL="0" distR="0" wp14:anchorId="5DE076C6">
                  <wp:extent cx="1767840" cy="1134110"/>
                  <wp:effectExtent l="0" t="0" r="381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134110"/>
                          </a:xfrm>
                          <a:prstGeom prst="rect">
                            <a:avLst/>
                          </a:prstGeom>
                          <a:noFill/>
                        </pic:spPr>
                      </pic:pic>
                    </a:graphicData>
                  </a:graphic>
                </wp:inline>
              </w:drawing>
            </w:r>
          </w:p>
        </w:tc>
      </w:tr>
      <w:tr w:rsidR="005D706B" w:rsidRPr="00EC47F2">
        <w:tc>
          <w:tcPr>
            <w:tcW w:w="2461" w:type="dxa"/>
          </w:tcPr>
          <w:p w:rsidR="005D706B" w:rsidRPr="00EC47F2" w:rsidRDefault="005D706B" w:rsidP="005D706B">
            <w:pPr>
              <w:jc w:val="right"/>
              <w:rPr>
                <w:rFonts w:ascii="Verdana" w:hAnsi="Verdana"/>
                <w:b/>
                <w:sz w:val="16"/>
              </w:rPr>
            </w:pPr>
          </w:p>
        </w:tc>
        <w:tc>
          <w:tcPr>
            <w:tcW w:w="1758" w:type="dxa"/>
          </w:tcPr>
          <w:p w:rsidR="005D706B" w:rsidRPr="00EC47F2" w:rsidRDefault="005D706B" w:rsidP="005D706B">
            <w:pPr>
              <w:jc w:val="right"/>
              <w:rPr>
                <w:rFonts w:ascii="Verdana" w:hAnsi="Verdana"/>
                <w:b/>
                <w:sz w:val="16"/>
              </w:rPr>
            </w:pPr>
          </w:p>
        </w:tc>
        <w:tc>
          <w:tcPr>
            <w:tcW w:w="1276" w:type="dxa"/>
            <w:gridSpan w:val="2"/>
          </w:tcPr>
          <w:p w:rsidR="005D706B" w:rsidRPr="00EC47F2" w:rsidRDefault="005D706B" w:rsidP="005D706B">
            <w:pPr>
              <w:jc w:val="right"/>
              <w:rPr>
                <w:rFonts w:ascii="Verdana" w:hAnsi="Verdana"/>
                <w:b/>
                <w:sz w:val="16"/>
              </w:rPr>
            </w:pPr>
          </w:p>
        </w:tc>
        <w:tc>
          <w:tcPr>
            <w:tcW w:w="4713" w:type="dxa"/>
            <w:gridSpan w:val="3"/>
          </w:tcPr>
          <w:p w:rsidR="005D706B" w:rsidRPr="00EC47F2" w:rsidRDefault="005D706B" w:rsidP="005D706B">
            <w:pPr>
              <w:jc w:val="right"/>
              <w:rPr>
                <w:rFonts w:ascii="Verdana" w:hAnsi="Verdana"/>
                <w:b/>
                <w:sz w:val="16"/>
              </w:rPr>
            </w:pPr>
            <w:bookmarkStart w:id="2" w:name="UOFFPARAGRAF"/>
            <w:bookmarkEnd w:id="2"/>
          </w:p>
        </w:tc>
      </w:tr>
      <w:tr w:rsidR="002A6E20" w:rsidRPr="00EC47F2" w:rsidTr="00FF53E2">
        <w:tc>
          <w:tcPr>
            <w:tcW w:w="4786" w:type="dxa"/>
            <w:gridSpan w:val="3"/>
          </w:tcPr>
          <w:p w:rsidR="002A6E20" w:rsidRDefault="002A6E20" w:rsidP="00FF53E2">
            <w:pPr>
              <w:tabs>
                <w:tab w:val="left" w:pos="4537"/>
                <w:tab w:val="left" w:pos="6804"/>
              </w:tabs>
              <w:ind w:right="-72"/>
              <w:rPr>
                <w:rFonts w:ascii="Verdana" w:hAnsi="Verdana"/>
                <w:noProof/>
                <w:sz w:val="16"/>
                <w:szCs w:val="16"/>
              </w:rPr>
            </w:pPr>
          </w:p>
          <w:p w:rsidR="00C73208" w:rsidRDefault="00C73208" w:rsidP="00FF53E2">
            <w:pPr>
              <w:tabs>
                <w:tab w:val="left" w:pos="4537"/>
                <w:tab w:val="left" w:pos="6804"/>
              </w:tabs>
              <w:ind w:right="-72"/>
              <w:rPr>
                <w:rFonts w:ascii="Verdana" w:hAnsi="Verdana"/>
                <w:noProof/>
                <w:sz w:val="16"/>
                <w:szCs w:val="16"/>
              </w:rPr>
            </w:pPr>
          </w:p>
          <w:p w:rsidR="00C73208" w:rsidRDefault="00C73208" w:rsidP="00FF53E2">
            <w:pPr>
              <w:tabs>
                <w:tab w:val="left" w:pos="4537"/>
                <w:tab w:val="left" w:pos="6804"/>
              </w:tabs>
              <w:ind w:right="-72"/>
              <w:rPr>
                <w:rFonts w:ascii="Verdana" w:hAnsi="Verdana"/>
                <w:noProof/>
                <w:sz w:val="16"/>
                <w:szCs w:val="16"/>
              </w:rPr>
            </w:pPr>
          </w:p>
          <w:p w:rsidR="00C73208" w:rsidRPr="00EC47F2" w:rsidRDefault="00C73208" w:rsidP="00FF53E2">
            <w:pPr>
              <w:tabs>
                <w:tab w:val="left" w:pos="4537"/>
                <w:tab w:val="left" w:pos="6804"/>
              </w:tabs>
              <w:ind w:right="-72"/>
              <w:rPr>
                <w:rFonts w:ascii="Verdana" w:hAnsi="Verdana"/>
                <w:noProof/>
                <w:sz w:val="16"/>
                <w:szCs w:val="16"/>
              </w:rPr>
            </w:pPr>
          </w:p>
        </w:tc>
        <w:tc>
          <w:tcPr>
            <w:tcW w:w="1276" w:type="dxa"/>
            <w:gridSpan w:val="2"/>
          </w:tcPr>
          <w:p w:rsidR="002A6E20" w:rsidRPr="00EC47F2" w:rsidRDefault="002A6E20" w:rsidP="00FF53E2">
            <w:pPr>
              <w:rPr>
                <w:rFonts w:ascii="Verdana" w:hAnsi="Verdana"/>
                <w:noProof/>
                <w:sz w:val="16"/>
              </w:rPr>
            </w:pPr>
          </w:p>
        </w:tc>
        <w:tc>
          <w:tcPr>
            <w:tcW w:w="1276" w:type="dxa"/>
          </w:tcPr>
          <w:p w:rsidR="002A6E20" w:rsidRPr="00EC47F2" w:rsidRDefault="002A6E20" w:rsidP="00FF53E2">
            <w:pPr>
              <w:rPr>
                <w:rFonts w:ascii="Verdana" w:hAnsi="Verdana"/>
                <w:noProof/>
                <w:sz w:val="16"/>
              </w:rPr>
            </w:pPr>
          </w:p>
        </w:tc>
        <w:tc>
          <w:tcPr>
            <w:tcW w:w="2870" w:type="dxa"/>
          </w:tcPr>
          <w:p w:rsidR="002A6E20" w:rsidRDefault="002A6E20" w:rsidP="00FF53E2">
            <w:pPr>
              <w:jc w:val="right"/>
              <w:rPr>
                <w:noProof/>
              </w:rPr>
            </w:pPr>
          </w:p>
          <w:p w:rsidR="002A6E20" w:rsidRPr="00EC47F2" w:rsidRDefault="002A6E20" w:rsidP="00FF53E2">
            <w:pPr>
              <w:jc w:val="right"/>
              <w:rPr>
                <w:rFonts w:ascii="Verdana" w:hAnsi="Verdana"/>
                <w:sz w:val="16"/>
              </w:rPr>
            </w:pPr>
          </w:p>
        </w:tc>
      </w:tr>
      <w:tr w:rsidR="002A6E20" w:rsidRPr="00EC47F2" w:rsidTr="00FF53E2">
        <w:tc>
          <w:tcPr>
            <w:tcW w:w="2461" w:type="dxa"/>
          </w:tcPr>
          <w:p w:rsidR="002A6E20" w:rsidRPr="00EC47F2" w:rsidRDefault="002A6E20" w:rsidP="00FF53E2">
            <w:pPr>
              <w:jc w:val="right"/>
              <w:rPr>
                <w:rFonts w:ascii="Verdana" w:hAnsi="Verdana"/>
                <w:b/>
                <w:sz w:val="16"/>
              </w:rPr>
            </w:pPr>
          </w:p>
        </w:tc>
        <w:tc>
          <w:tcPr>
            <w:tcW w:w="1758" w:type="dxa"/>
          </w:tcPr>
          <w:p w:rsidR="002A6E20" w:rsidRPr="00EC47F2" w:rsidRDefault="002A6E20" w:rsidP="00FF53E2">
            <w:pPr>
              <w:jc w:val="right"/>
              <w:rPr>
                <w:rFonts w:ascii="Verdana" w:hAnsi="Verdana"/>
                <w:b/>
                <w:sz w:val="16"/>
              </w:rPr>
            </w:pPr>
          </w:p>
        </w:tc>
        <w:tc>
          <w:tcPr>
            <w:tcW w:w="1276" w:type="dxa"/>
            <w:gridSpan w:val="2"/>
          </w:tcPr>
          <w:p w:rsidR="002A6E20" w:rsidRPr="00EC47F2" w:rsidRDefault="002A6E20" w:rsidP="00FF53E2">
            <w:pPr>
              <w:jc w:val="right"/>
              <w:rPr>
                <w:rFonts w:ascii="Verdana" w:hAnsi="Verdana"/>
                <w:b/>
                <w:sz w:val="16"/>
              </w:rPr>
            </w:pPr>
          </w:p>
        </w:tc>
        <w:tc>
          <w:tcPr>
            <w:tcW w:w="4713" w:type="dxa"/>
            <w:gridSpan w:val="3"/>
          </w:tcPr>
          <w:p w:rsidR="002A6E20" w:rsidRPr="00EC47F2" w:rsidRDefault="002A6E20" w:rsidP="00FF53E2">
            <w:pPr>
              <w:jc w:val="right"/>
              <w:rPr>
                <w:rFonts w:ascii="Verdana" w:hAnsi="Verdana"/>
                <w:b/>
                <w:sz w:val="16"/>
              </w:rPr>
            </w:pPr>
          </w:p>
        </w:tc>
      </w:tr>
    </w:tbl>
    <w:p w:rsidR="002A6E20" w:rsidRPr="00EC47F2" w:rsidRDefault="002A6E20" w:rsidP="002A6E20">
      <w:pPr>
        <w:rPr>
          <w:rFonts w:ascii="Verdana" w:hAnsi="Verdana"/>
        </w:rPr>
      </w:pPr>
      <w:bookmarkStart w:id="3" w:name="ADRESSE"/>
      <w:bookmarkEnd w:id="3"/>
    </w:p>
    <w:p w:rsidR="004B0671" w:rsidRDefault="00E67157" w:rsidP="00055BF3">
      <w:pPr>
        <w:pStyle w:val="overskrift"/>
        <w:rPr>
          <w:rFonts w:ascii="Verdana" w:hAnsi="Verdana"/>
          <w:caps w:val="0"/>
        </w:rPr>
      </w:pPr>
      <w:bookmarkStart w:id="4" w:name="POSTNR"/>
      <w:bookmarkStart w:id="5" w:name="POSTSTED"/>
      <w:bookmarkStart w:id="6" w:name="KONTAKT"/>
      <w:bookmarkStart w:id="7" w:name="TITTEL"/>
      <w:bookmarkEnd w:id="4"/>
      <w:bookmarkEnd w:id="5"/>
      <w:bookmarkEnd w:id="6"/>
      <w:r>
        <w:rPr>
          <w:rFonts w:ascii="Verdana" w:hAnsi="Verdana"/>
          <w:caps w:val="0"/>
        </w:rPr>
        <w:t>Referat fra</w:t>
      </w:r>
      <w:r w:rsidR="00A90E9B">
        <w:rPr>
          <w:rFonts w:ascii="Verdana" w:hAnsi="Verdana"/>
          <w:caps w:val="0"/>
        </w:rPr>
        <w:t xml:space="preserve"> rådsmøte </w:t>
      </w:r>
      <w:r w:rsidR="00033DC4">
        <w:rPr>
          <w:rFonts w:ascii="Verdana" w:hAnsi="Verdana"/>
          <w:caps w:val="0"/>
        </w:rPr>
        <w:t>12</w:t>
      </w:r>
      <w:r w:rsidR="00837FE7">
        <w:rPr>
          <w:rFonts w:ascii="Verdana" w:hAnsi="Verdana"/>
          <w:caps w:val="0"/>
        </w:rPr>
        <w:t xml:space="preserve">. </w:t>
      </w:r>
      <w:r w:rsidR="00033DC4">
        <w:rPr>
          <w:rFonts w:ascii="Verdana" w:hAnsi="Verdana"/>
          <w:caps w:val="0"/>
        </w:rPr>
        <w:t>september</w:t>
      </w:r>
      <w:r w:rsidR="00C73208">
        <w:rPr>
          <w:rFonts w:ascii="Verdana" w:hAnsi="Verdana"/>
          <w:caps w:val="0"/>
        </w:rPr>
        <w:t xml:space="preserve"> </w:t>
      </w:r>
      <w:r w:rsidR="00C768FD">
        <w:rPr>
          <w:rFonts w:ascii="Verdana" w:hAnsi="Verdana"/>
          <w:caps w:val="0"/>
        </w:rPr>
        <w:t>201</w:t>
      </w:r>
      <w:bookmarkEnd w:id="7"/>
      <w:r w:rsidR="009B508A">
        <w:rPr>
          <w:rFonts w:ascii="Verdana" w:hAnsi="Verdana"/>
          <w:caps w:val="0"/>
        </w:rPr>
        <w:t>6</w:t>
      </w:r>
      <w:r w:rsidR="004B0671">
        <w:rPr>
          <w:rFonts w:ascii="Verdana" w:hAnsi="Verdana"/>
          <w:caps w:val="0"/>
        </w:rPr>
        <w:t xml:space="preserve"> </w:t>
      </w:r>
      <w:r w:rsidR="00B81800">
        <w:rPr>
          <w:rFonts w:ascii="Verdana" w:hAnsi="Verdana"/>
          <w:caps w:val="0"/>
        </w:rPr>
        <w:t>for medlemmer og varamedlemmer</w:t>
      </w:r>
      <w:r w:rsidR="003D7823">
        <w:rPr>
          <w:rFonts w:ascii="Verdana" w:hAnsi="Verdana"/>
          <w:caps w:val="0"/>
        </w:rPr>
        <w:t xml:space="preserve"> i Faglig råd for </w:t>
      </w:r>
      <w:r w:rsidR="008B146B">
        <w:rPr>
          <w:rFonts w:ascii="Verdana" w:hAnsi="Verdana"/>
          <w:caps w:val="0"/>
        </w:rPr>
        <w:t>design og håndverk</w:t>
      </w:r>
    </w:p>
    <w:p w:rsidR="00280A43" w:rsidRDefault="00280A43" w:rsidP="00055BF3">
      <w:pPr>
        <w:pStyle w:val="overskrift"/>
        <w:rPr>
          <w:rFonts w:ascii="Verdana" w:hAnsi="Verdana"/>
          <w:b w:val="0"/>
          <w:caps w:val="0"/>
          <w:sz w:val="20"/>
        </w:rPr>
      </w:pPr>
    </w:p>
    <w:p w:rsidR="009C532A" w:rsidRPr="00C73208" w:rsidRDefault="004B0671" w:rsidP="00055BF3">
      <w:pPr>
        <w:pStyle w:val="overskrift"/>
        <w:rPr>
          <w:rFonts w:ascii="Verdana" w:hAnsi="Verdana"/>
          <w:b w:val="0"/>
          <w:caps w:val="0"/>
          <w:sz w:val="20"/>
        </w:rPr>
      </w:pPr>
      <w:r w:rsidRPr="004B0671">
        <w:rPr>
          <w:rFonts w:ascii="Verdana" w:hAnsi="Verdana"/>
          <w:b w:val="0"/>
          <w:caps w:val="0"/>
          <w:sz w:val="20"/>
        </w:rPr>
        <w:t>Sted:</w:t>
      </w:r>
      <w:r>
        <w:rPr>
          <w:rFonts w:ascii="Verdana" w:hAnsi="Verdana"/>
          <w:caps w:val="0"/>
        </w:rPr>
        <w:t xml:space="preserve"> </w:t>
      </w:r>
      <w:r w:rsidR="00C73208" w:rsidRPr="00C73208">
        <w:rPr>
          <w:rFonts w:ascii="Verdana" w:hAnsi="Verdana"/>
          <w:b w:val="0"/>
          <w:caps w:val="0"/>
          <w:sz w:val="20"/>
        </w:rPr>
        <w:t>U</w:t>
      </w:r>
      <w:r w:rsidR="00481DBC">
        <w:rPr>
          <w:rFonts w:ascii="Verdana" w:hAnsi="Verdana"/>
          <w:b w:val="0"/>
          <w:caps w:val="0"/>
          <w:sz w:val="20"/>
        </w:rPr>
        <w:t>tdanningsdirektoratet, møterom 3</w:t>
      </w:r>
      <w:r w:rsidR="00C73208" w:rsidRPr="00C73208">
        <w:rPr>
          <w:rFonts w:ascii="Verdana" w:hAnsi="Verdana"/>
          <w:b w:val="0"/>
          <w:caps w:val="0"/>
          <w:sz w:val="20"/>
        </w:rPr>
        <w:t xml:space="preserve">, 1. et. </w:t>
      </w:r>
    </w:p>
    <w:p w:rsidR="002A6E20" w:rsidRDefault="0000467F" w:rsidP="002A6E20">
      <w:pPr>
        <w:rPr>
          <w:rFonts w:ascii="Verdana" w:hAnsi="Verdana"/>
        </w:rPr>
      </w:pPr>
      <w:r>
        <w:rPr>
          <w:rFonts w:ascii="Verdana" w:hAnsi="Verdana"/>
        </w:rPr>
        <w:t xml:space="preserve">Møtestart: kl. </w:t>
      </w:r>
      <w:r w:rsidR="00C73208">
        <w:rPr>
          <w:rFonts w:ascii="Verdana" w:hAnsi="Verdana"/>
        </w:rPr>
        <w:t>10.00</w:t>
      </w:r>
    </w:p>
    <w:p w:rsidR="002A6E20" w:rsidRDefault="0000467F" w:rsidP="002A6E20">
      <w:pPr>
        <w:rPr>
          <w:rFonts w:ascii="Verdana" w:hAnsi="Verdana"/>
        </w:rPr>
      </w:pPr>
      <w:r>
        <w:rPr>
          <w:rFonts w:ascii="Verdana" w:hAnsi="Verdana"/>
        </w:rPr>
        <w:t xml:space="preserve">Møteslutt: kl. </w:t>
      </w:r>
      <w:r w:rsidR="00C73208">
        <w:rPr>
          <w:rFonts w:ascii="Verdana" w:hAnsi="Verdana"/>
        </w:rPr>
        <w:t>15.30</w:t>
      </w:r>
    </w:p>
    <w:p w:rsidR="009C532A" w:rsidRDefault="009C532A" w:rsidP="002A6E20">
      <w:pPr>
        <w:rPr>
          <w:rFonts w:ascii="Verdana" w:hAnsi="Verdana"/>
        </w:rPr>
      </w:pPr>
      <w:r>
        <w:rPr>
          <w:rFonts w:ascii="Verdana" w:hAnsi="Verdana"/>
        </w:rPr>
        <w:t xml:space="preserve">Lunsj: </w:t>
      </w:r>
      <w:r w:rsidR="00C73208">
        <w:rPr>
          <w:rFonts w:ascii="Verdana" w:hAnsi="Verdana"/>
        </w:rPr>
        <w:t>11.30</w:t>
      </w:r>
    </w:p>
    <w:p w:rsidR="007512EC" w:rsidRDefault="007512EC" w:rsidP="002A6E20">
      <w:pPr>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764"/>
        <w:gridCol w:w="4599"/>
      </w:tblGrid>
      <w:tr w:rsidR="002A6E20" w:rsidRPr="00E3700D" w:rsidTr="00FF53E2">
        <w:trPr>
          <w:trHeight w:val="215"/>
        </w:trPr>
        <w:tc>
          <w:tcPr>
            <w:tcW w:w="1418" w:type="dxa"/>
          </w:tcPr>
          <w:p w:rsidR="002A6E20" w:rsidRPr="00E3700D" w:rsidRDefault="002A6E20" w:rsidP="00FF53E2">
            <w:pPr>
              <w:contextualSpacing/>
              <w:rPr>
                <w:rFonts w:ascii="Verdana" w:eastAsia="Times" w:hAnsi="Verdana"/>
                <w:b/>
              </w:rPr>
            </w:pPr>
            <w:bookmarkStart w:id="8" w:name="Start"/>
            <w:bookmarkEnd w:id="8"/>
          </w:p>
        </w:tc>
        <w:tc>
          <w:tcPr>
            <w:tcW w:w="3764" w:type="dxa"/>
            <w:vAlign w:val="center"/>
          </w:tcPr>
          <w:p w:rsidR="002A6E20" w:rsidRPr="00E3700D" w:rsidRDefault="002A6E20" w:rsidP="00FF53E2">
            <w:pPr>
              <w:contextualSpacing/>
              <w:rPr>
                <w:rFonts w:ascii="Verdana" w:eastAsia="Times" w:hAnsi="Verdana"/>
                <w:b/>
              </w:rPr>
            </w:pPr>
            <w:r w:rsidRPr="00E3700D">
              <w:rPr>
                <w:rFonts w:ascii="Verdana" w:eastAsia="Times" w:hAnsi="Verdana"/>
                <w:b/>
              </w:rPr>
              <w:t>Fra arbeidstakersiden</w:t>
            </w:r>
          </w:p>
        </w:tc>
        <w:tc>
          <w:tcPr>
            <w:tcW w:w="4599" w:type="dxa"/>
          </w:tcPr>
          <w:p w:rsidR="002A6E20" w:rsidRPr="00E3700D" w:rsidRDefault="002A6E20" w:rsidP="00FF53E2">
            <w:pPr>
              <w:contextualSpacing/>
              <w:rPr>
                <w:rFonts w:ascii="Verdana" w:eastAsia="Times" w:hAnsi="Verdana"/>
                <w:b/>
              </w:rPr>
            </w:pPr>
            <w:r w:rsidRPr="00E3700D">
              <w:rPr>
                <w:rFonts w:ascii="Verdana" w:eastAsia="Times" w:hAnsi="Verdana"/>
                <w:b/>
              </w:rPr>
              <w:t>Fra arbeidsgiversiden</w:t>
            </w:r>
          </w:p>
        </w:tc>
      </w:tr>
      <w:tr w:rsidR="002A6E20" w:rsidRPr="009B508A" w:rsidTr="005156A3">
        <w:trPr>
          <w:trHeight w:val="793"/>
        </w:trPr>
        <w:tc>
          <w:tcPr>
            <w:tcW w:w="1418" w:type="dxa"/>
          </w:tcPr>
          <w:p w:rsidR="002A6E20" w:rsidRPr="00E3700D" w:rsidRDefault="00FF53E2" w:rsidP="00FF53E2">
            <w:pPr>
              <w:contextualSpacing/>
              <w:rPr>
                <w:rFonts w:ascii="Verdana" w:eastAsia="Times" w:hAnsi="Verdana"/>
              </w:rPr>
            </w:pPr>
            <w:r>
              <w:rPr>
                <w:rFonts w:ascii="Verdana" w:eastAsia="Times" w:hAnsi="Verdana"/>
                <w:b/>
              </w:rPr>
              <w:t>Deltakere</w:t>
            </w:r>
          </w:p>
        </w:tc>
        <w:tc>
          <w:tcPr>
            <w:tcW w:w="3764" w:type="dxa"/>
          </w:tcPr>
          <w:p w:rsidR="009B508A" w:rsidRDefault="005156A3" w:rsidP="005156A3">
            <w:pPr>
              <w:contextualSpacing/>
              <w:rPr>
                <w:rFonts w:ascii="Verdana" w:hAnsi="Verdana"/>
                <w:lang w:val="nn-NO"/>
              </w:rPr>
            </w:pPr>
            <w:r w:rsidRPr="005156A3">
              <w:rPr>
                <w:rFonts w:ascii="Verdana" w:hAnsi="Verdana"/>
                <w:lang w:val="nn-NO"/>
              </w:rPr>
              <w:t>Janne O. Fraas</w:t>
            </w:r>
            <w:r w:rsidR="009B508A" w:rsidRPr="005156A3">
              <w:rPr>
                <w:rFonts w:ascii="Verdana" w:hAnsi="Verdana"/>
                <w:lang w:val="nn-NO"/>
              </w:rPr>
              <w:t xml:space="preserve"> </w:t>
            </w:r>
          </w:p>
          <w:p w:rsidR="00A70DDB" w:rsidRDefault="005156A3" w:rsidP="009B508A">
            <w:pPr>
              <w:contextualSpacing/>
              <w:rPr>
                <w:rFonts w:ascii="Verdana" w:hAnsi="Verdana"/>
                <w:lang w:val="nn-NO"/>
              </w:rPr>
            </w:pPr>
            <w:r w:rsidRPr="005156A3">
              <w:rPr>
                <w:rFonts w:ascii="Verdana" w:hAnsi="Verdana"/>
                <w:lang w:val="nn-NO"/>
              </w:rPr>
              <w:t>Anne-Kristin Modell</w:t>
            </w:r>
            <w:r w:rsidR="009B508A" w:rsidRPr="005156A3">
              <w:rPr>
                <w:rFonts w:ascii="Verdana" w:hAnsi="Verdana"/>
                <w:lang w:val="nn-NO"/>
              </w:rPr>
              <w:t xml:space="preserve"> </w:t>
            </w:r>
          </w:p>
          <w:p w:rsidR="00C45379" w:rsidRPr="000A6846" w:rsidRDefault="00C45379" w:rsidP="009B508A">
            <w:pPr>
              <w:contextualSpacing/>
              <w:rPr>
                <w:rFonts w:ascii="Verdana" w:hAnsi="Verdana"/>
                <w:lang w:val="nn-NO"/>
              </w:rPr>
            </w:pPr>
            <w:r w:rsidRPr="005156A3">
              <w:rPr>
                <w:rFonts w:ascii="Verdana" w:hAnsi="Verdana"/>
                <w:lang w:val="nn-NO"/>
              </w:rPr>
              <w:t>Karina Sandnes</w:t>
            </w:r>
          </w:p>
        </w:tc>
        <w:tc>
          <w:tcPr>
            <w:tcW w:w="4599" w:type="dxa"/>
          </w:tcPr>
          <w:p w:rsidR="005156A3" w:rsidRPr="005156A3" w:rsidRDefault="005156A3" w:rsidP="005156A3">
            <w:pPr>
              <w:contextualSpacing/>
              <w:rPr>
                <w:rFonts w:ascii="Verdana" w:hAnsi="Verdana"/>
                <w:lang w:val="nn-NO"/>
              </w:rPr>
            </w:pPr>
            <w:r w:rsidRPr="005156A3">
              <w:rPr>
                <w:rFonts w:ascii="Verdana" w:hAnsi="Verdana"/>
                <w:lang w:val="nn-NO"/>
              </w:rPr>
              <w:t>Ragnvald Nore</w:t>
            </w:r>
          </w:p>
          <w:p w:rsidR="00A70DDB" w:rsidRDefault="009B508A" w:rsidP="005156A3">
            <w:pPr>
              <w:contextualSpacing/>
              <w:rPr>
                <w:rFonts w:ascii="Verdana" w:hAnsi="Verdana"/>
                <w:lang w:val="nn-NO"/>
              </w:rPr>
            </w:pPr>
            <w:r w:rsidRPr="005156A3">
              <w:rPr>
                <w:rFonts w:ascii="Verdana" w:hAnsi="Verdana"/>
                <w:lang w:val="nn-NO"/>
              </w:rPr>
              <w:t>Lise Fjeld</w:t>
            </w:r>
          </w:p>
          <w:p w:rsidR="00C73208" w:rsidRPr="006014BD" w:rsidRDefault="00C73208" w:rsidP="005156A3">
            <w:pPr>
              <w:contextualSpacing/>
              <w:rPr>
                <w:rFonts w:ascii="Verdana" w:hAnsi="Verdana"/>
                <w:lang w:val="nn-NO"/>
              </w:rPr>
            </w:pPr>
            <w:r>
              <w:rPr>
                <w:rFonts w:ascii="Verdana" w:hAnsi="Verdana"/>
                <w:lang w:val="nn-NO"/>
              </w:rPr>
              <w:t xml:space="preserve"> </w:t>
            </w:r>
            <w:r w:rsidR="004A565C">
              <w:rPr>
                <w:rFonts w:ascii="Verdana" w:hAnsi="Verdana"/>
                <w:lang w:val="nn-NO"/>
              </w:rPr>
              <w:t xml:space="preserve">Marie Hellwege </w:t>
            </w:r>
            <w:r>
              <w:rPr>
                <w:rFonts w:ascii="Verdana" w:hAnsi="Verdana"/>
                <w:lang w:val="nn-NO"/>
              </w:rPr>
              <w:t>(vara for Solveig Grinder)</w:t>
            </w:r>
          </w:p>
        </w:tc>
      </w:tr>
      <w:tr w:rsidR="002A6E20" w:rsidRPr="00E3700D" w:rsidTr="00FF53E2">
        <w:trPr>
          <w:trHeight w:val="215"/>
        </w:trPr>
        <w:tc>
          <w:tcPr>
            <w:tcW w:w="1418" w:type="dxa"/>
          </w:tcPr>
          <w:p w:rsidR="002A6E20" w:rsidRPr="00B17290" w:rsidRDefault="002A6E20" w:rsidP="00FF53E2">
            <w:pPr>
              <w:contextualSpacing/>
              <w:rPr>
                <w:rFonts w:ascii="Verdana" w:eastAsia="Times" w:hAnsi="Verdana"/>
                <w:lang w:val="nn-NO"/>
              </w:rPr>
            </w:pPr>
          </w:p>
        </w:tc>
        <w:tc>
          <w:tcPr>
            <w:tcW w:w="3764" w:type="dxa"/>
          </w:tcPr>
          <w:p w:rsidR="002A6E20" w:rsidRPr="00E3700D" w:rsidRDefault="002A6E20" w:rsidP="00FF53E2">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599" w:type="dxa"/>
          </w:tcPr>
          <w:p w:rsidR="002A6E20" w:rsidRPr="00E3700D" w:rsidRDefault="002A6E20" w:rsidP="00FF53E2">
            <w:pPr>
              <w:contextualSpacing/>
              <w:rPr>
                <w:rFonts w:ascii="Verdana" w:eastAsia="Times" w:hAnsi="Verdana"/>
                <w:b/>
              </w:rPr>
            </w:pPr>
            <w:r>
              <w:rPr>
                <w:rFonts w:ascii="Verdana" w:eastAsia="Times" w:hAnsi="Verdana"/>
                <w:b/>
              </w:rPr>
              <w:t>Andre organisasjoner</w:t>
            </w:r>
          </w:p>
        </w:tc>
      </w:tr>
      <w:tr w:rsidR="002A6E20" w:rsidRPr="00E3700D" w:rsidTr="00FF53E2">
        <w:trPr>
          <w:trHeight w:val="491"/>
        </w:trPr>
        <w:tc>
          <w:tcPr>
            <w:tcW w:w="1418" w:type="dxa"/>
          </w:tcPr>
          <w:p w:rsidR="002A6E20" w:rsidRPr="00E3700D" w:rsidRDefault="002A6E20" w:rsidP="00FF53E2">
            <w:pPr>
              <w:contextualSpacing/>
              <w:rPr>
                <w:rFonts w:ascii="Verdana" w:eastAsia="Times" w:hAnsi="Verdana"/>
              </w:rPr>
            </w:pPr>
          </w:p>
        </w:tc>
        <w:tc>
          <w:tcPr>
            <w:tcW w:w="3764" w:type="dxa"/>
          </w:tcPr>
          <w:p w:rsidR="005156A3" w:rsidRPr="005156A3" w:rsidRDefault="005156A3" w:rsidP="005156A3">
            <w:pPr>
              <w:contextualSpacing/>
              <w:rPr>
                <w:rFonts w:ascii="Verdana" w:hAnsi="Verdana"/>
                <w:lang w:val="nn-NO"/>
              </w:rPr>
            </w:pPr>
            <w:r w:rsidRPr="005156A3">
              <w:rPr>
                <w:rFonts w:ascii="Verdana" w:hAnsi="Verdana"/>
                <w:lang w:val="nn-NO"/>
              </w:rPr>
              <w:t>Gunleik Rostøl</w:t>
            </w:r>
          </w:p>
          <w:p w:rsidR="005156A3" w:rsidRPr="005156A3" w:rsidRDefault="005156A3" w:rsidP="005156A3">
            <w:pPr>
              <w:contextualSpacing/>
              <w:rPr>
                <w:rFonts w:ascii="Verdana" w:hAnsi="Verdana"/>
                <w:lang w:val="nn-NO"/>
              </w:rPr>
            </w:pPr>
            <w:r w:rsidRPr="005156A3">
              <w:rPr>
                <w:rFonts w:ascii="Verdana" w:hAnsi="Verdana"/>
                <w:lang w:val="nn-NO"/>
              </w:rPr>
              <w:t xml:space="preserve">Brith Antonsen </w:t>
            </w:r>
          </w:p>
          <w:p w:rsidR="005156A3" w:rsidRPr="005156A3" w:rsidRDefault="005156A3" w:rsidP="005156A3">
            <w:pPr>
              <w:contextualSpacing/>
              <w:rPr>
                <w:rFonts w:ascii="Verdana" w:hAnsi="Verdana"/>
                <w:lang w:val="nn-NO"/>
              </w:rPr>
            </w:pPr>
            <w:r w:rsidRPr="005156A3">
              <w:rPr>
                <w:rFonts w:ascii="Verdana" w:hAnsi="Verdana"/>
                <w:lang w:val="nn-NO"/>
              </w:rPr>
              <w:t>Marianne Monsrud</w:t>
            </w:r>
          </w:p>
          <w:p w:rsidR="00A622C1" w:rsidRDefault="00A622C1" w:rsidP="005156A3">
            <w:pPr>
              <w:contextualSpacing/>
              <w:rPr>
                <w:rFonts w:ascii="Verdana" w:hAnsi="Verdana"/>
                <w:lang w:val="nn-NO"/>
              </w:rPr>
            </w:pPr>
            <w:r>
              <w:rPr>
                <w:rFonts w:ascii="Verdana" w:hAnsi="Verdana"/>
                <w:lang w:val="nn-NO"/>
              </w:rPr>
              <w:t>Turid Borud (vara for Gry Sørlie)</w:t>
            </w:r>
          </w:p>
          <w:p w:rsidR="009B508A" w:rsidRPr="005156A3" w:rsidRDefault="009B508A" w:rsidP="005156A3">
            <w:pPr>
              <w:contextualSpacing/>
              <w:rPr>
                <w:rFonts w:ascii="Verdana" w:hAnsi="Verdana"/>
                <w:lang w:val="nn-NO"/>
              </w:rPr>
            </w:pPr>
            <w:r>
              <w:rPr>
                <w:rFonts w:ascii="Verdana" w:hAnsi="Verdana"/>
                <w:lang w:val="nn-NO"/>
              </w:rPr>
              <w:t>Marcel Traeen</w:t>
            </w:r>
            <w:r w:rsidR="00A622C1">
              <w:rPr>
                <w:rFonts w:ascii="Verdana" w:hAnsi="Verdana"/>
                <w:lang w:val="nn-NO"/>
              </w:rPr>
              <w:t xml:space="preserve"> (</w:t>
            </w:r>
            <w:r w:rsidR="004A565C">
              <w:rPr>
                <w:rFonts w:ascii="Verdana" w:hAnsi="Verdana"/>
                <w:lang w:val="nn-NO"/>
              </w:rPr>
              <w:t>t</w:t>
            </w:r>
            <w:r w:rsidR="00A622C1">
              <w:rPr>
                <w:rFonts w:ascii="Verdana" w:hAnsi="Verdana"/>
                <w:lang w:val="nn-NO"/>
              </w:rPr>
              <w:t>il lunsj)</w:t>
            </w:r>
          </w:p>
          <w:p w:rsidR="002A6E20" w:rsidRPr="00E3700D" w:rsidRDefault="002A6E20" w:rsidP="005156A3">
            <w:pPr>
              <w:contextualSpacing/>
              <w:rPr>
                <w:rFonts w:ascii="Verdana" w:eastAsia="Times" w:hAnsi="Verdana"/>
              </w:rPr>
            </w:pPr>
          </w:p>
        </w:tc>
        <w:tc>
          <w:tcPr>
            <w:tcW w:w="4599" w:type="dxa"/>
          </w:tcPr>
          <w:p w:rsidR="002A6E20" w:rsidRDefault="00A622C1" w:rsidP="00E67157">
            <w:pPr>
              <w:contextualSpacing/>
              <w:rPr>
                <w:rFonts w:ascii="Verdana" w:hAnsi="Verdana"/>
                <w:lang w:val="nn-NO"/>
              </w:rPr>
            </w:pPr>
            <w:r>
              <w:rPr>
                <w:rFonts w:ascii="Verdana" w:hAnsi="Verdana"/>
                <w:lang w:val="nn-NO"/>
              </w:rPr>
              <w:t xml:space="preserve">Berit Oskal Eira (vara for </w:t>
            </w:r>
            <w:r w:rsidR="009B508A" w:rsidRPr="005156A3">
              <w:rPr>
                <w:rFonts w:ascii="Verdana" w:hAnsi="Verdana"/>
                <w:lang w:val="nn-NO"/>
              </w:rPr>
              <w:t>Ellinor Guttorm Utsi</w:t>
            </w:r>
            <w:r>
              <w:rPr>
                <w:rFonts w:ascii="Verdana" w:hAnsi="Verdana"/>
                <w:lang w:val="nn-NO"/>
              </w:rPr>
              <w:t>)</w:t>
            </w:r>
          </w:p>
          <w:p w:rsidR="00C73208" w:rsidRPr="00EF2E21" w:rsidRDefault="00C73208" w:rsidP="00E67157">
            <w:pPr>
              <w:contextualSpacing/>
              <w:rPr>
                <w:rFonts w:ascii="Verdana" w:eastAsia="Times" w:hAnsi="Verdana"/>
                <w:lang w:val="nn-NO"/>
              </w:rPr>
            </w:pPr>
          </w:p>
        </w:tc>
      </w:tr>
      <w:tr w:rsidR="002A6E20" w:rsidRPr="00E3700D" w:rsidTr="00FF53E2">
        <w:trPr>
          <w:trHeight w:val="230"/>
        </w:trPr>
        <w:tc>
          <w:tcPr>
            <w:tcW w:w="1418" w:type="dxa"/>
          </w:tcPr>
          <w:p w:rsidR="002A6E20" w:rsidRPr="00E3700D" w:rsidRDefault="002A6E20" w:rsidP="00FF53E2">
            <w:pPr>
              <w:contextualSpacing/>
              <w:rPr>
                <w:rFonts w:ascii="Verdana" w:eastAsia="Times" w:hAnsi="Verdana"/>
              </w:rPr>
            </w:pPr>
          </w:p>
        </w:tc>
        <w:tc>
          <w:tcPr>
            <w:tcW w:w="3764" w:type="dxa"/>
          </w:tcPr>
          <w:p w:rsidR="002A6E20" w:rsidRPr="00E3700D" w:rsidRDefault="002A6E20" w:rsidP="00FF53E2">
            <w:pPr>
              <w:contextualSpacing/>
              <w:rPr>
                <w:rFonts w:ascii="Verdana" w:eastAsia="Times" w:hAnsi="Verdana"/>
                <w:b/>
              </w:rPr>
            </w:pPr>
            <w:r w:rsidRPr="00E3700D">
              <w:rPr>
                <w:rFonts w:ascii="Verdana" w:eastAsia="Times" w:hAnsi="Verdana"/>
                <w:b/>
              </w:rPr>
              <w:t xml:space="preserve">Meldt forfall </w:t>
            </w:r>
          </w:p>
        </w:tc>
        <w:tc>
          <w:tcPr>
            <w:tcW w:w="4599" w:type="dxa"/>
          </w:tcPr>
          <w:p w:rsidR="002A6E20" w:rsidRPr="00E3700D" w:rsidRDefault="002A6E20" w:rsidP="00FF53E2">
            <w:pPr>
              <w:contextualSpacing/>
              <w:rPr>
                <w:rFonts w:ascii="Verdana" w:eastAsia="Times" w:hAnsi="Verdana"/>
                <w:b/>
              </w:rPr>
            </w:pPr>
            <w:r w:rsidRPr="00E3700D">
              <w:rPr>
                <w:rFonts w:ascii="Verdana" w:eastAsia="Times" w:hAnsi="Verdana"/>
                <w:b/>
              </w:rPr>
              <w:t>Utdanningsdirektoratet</w:t>
            </w:r>
          </w:p>
        </w:tc>
      </w:tr>
      <w:tr w:rsidR="002A6E20" w:rsidRPr="00E3700D" w:rsidTr="00C73208">
        <w:trPr>
          <w:trHeight w:val="326"/>
        </w:trPr>
        <w:tc>
          <w:tcPr>
            <w:tcW w:w="1418" w:type="dxa"/>
          </w:tcPr>
          <w:p w:rsidR="002A6E20" w:rsidRPr="00E3700D" w:rsidRDefault="002A6E20" w:rsidP="00FF53E2">
            <w:pPr>
              <w:contextualSpacing/>
              <w:rPr>
                <w:rFonts w:ascii="Verdana" w:eastAsia="Times" w:hAnsi="Verdana"/>
              </w:rPr>
            </w:pPr>
          </w:p>
        </w:tc>
        <w:tc>
          <w:tcPr>
            <w:tcW w:w="3764" w:type="dxa"/>
          </w:tcPr>
          <w:p w:rsidR="002A6E20" w:rsidRPr="005156A3" w:rsidRDefault="00133AFE" w:rsidP="005156A3">
            <w:pPr>
              <w:contextualSpacing/>
              <w:rPr>
                <w:rFonts w:ascii="Verdana" w:hAnsi="Verdana"/>
                <w:lang w:val="nn-NO"/>
              </w:rPr>
            </w:pPr>
            <w:r>
              <w:rPr>
                <w:rFonts w:ascii="Verdana" w:hAnsi="Verdana"/>
                <w:lang w:val="nn-NO"/>
              </w:rPr>
              <w:t>Ellinor Guttorm Utsi</w:t>
            </w:r>
          </w:p>
        </w:tc>
        <w:tc>
          <w:tcPr>
            <w:tcW w:w="4599" w:type="dxa"/>
          </w:tcPr>
          <w:p w:rsidR="002A6E20" w:rsidRPr="007344D5" w:rsidRDefault="008B146B" w:rsidP="00FF53E2">
            <w:pPr>
              <w:contextualSpacing/>
              <w:rPr>
                <w:rFonts w:ascii="Verdana" w:eastAsia="Times" w:hAnsi="Verdana"/>
              </w:rPr>
            </w:pPr>
            <w:r>
              <w:rPr>
                <w:rFonts w:ascii="Verdana" w:eastAsia="Times" w:hAnsi="Verdana"/>
              </w:rPr>
              <w:t>Monika Thollefsen</w:t>
            </w:r>
            <w:r w:rsidR="002A6E20">
              <w:rPr>
                <w:rFonts w:ascii="Verdana" w:eastAsia="Times" w:hAnsi="Verdana"/>
              </w:rPr>
              <w:t>, r</w:t>
            </w:r>
            <w:r w:rsidR="00FF53E2">
              <w:rPr>
                <w:rFonts w:ascii="Verdana" w:eastAsia="Times" w:hAnsi="Verdana"/>
              </w:rPr>
              <w:t>ådssekretær</w:t>
            </w:r>
          </w:p>
        </w:tc>
      </w:tr>
      <w:tr w:rsidR="00481DBC" w:rsidRPr="00E3700D" w:rsidTr="00C73208">
        <w:trPr>
          <w:trHeight w:val="326"/>
        </w:trPr>
        <w:tc>
          <w:tcPr>
            <w:tcW w:w="1418" w:type="dxa"/>
          </w:tcPr>
          <w:p w:rsidR="00481DBC" w:rsidRPr="00E3700D" w:rsidRDefault="00481DBC" w:rsidP="00FF53E2">
            <w:pPr>
              <w:contextualSpacing/>
              <w:rPr>
                <w:rFonts w:ascii="Verdana" w:eastAsia="Times" w:hAnsi="Verdana"/>
              </w:rPr>
            </w:pPr>
          </w:p>
        </w:tc>
        <w:tc>
          <w:tcPr>
            <w:tcW w:w="3764" w:type="dxa"/>
          </w:tcPr>
          <w:p w:rsidR="00481DBC" w:rsidRDefault="00481DBC" w:rsidP="005156A3">
            <w:pPr>
              <w:contextualSpacing/>
              <w:rPr>
                <w:rFonts w:ascii="Verdana" w:hAnsi="Verdana"/>
                <w:lang w:val="nn-NO"/>
              </w:rPr>
            </w:pPr>
            <w:r>
              <w:rPr>
                <w:rFonts w:ascii="Verdana" w:hAnsi="Verdana"/>
                <w:lang w:val="nn-NO"/>
              </w:rPr>
              <w:t>Gry Sørlie</w:t>
            </w:r>
          </w:p>
        </w:tc>
        <w:tc>
          <w:tcPr>
            <w:tcW w:w="4599" w:type="dxa"/>
          </w:tcPr>
          <w:p w:rsidR="00481DBC" w:rsidRDefault="00481DBC" w:rsidP="00FF53E2">
            <w:pPr>
              <w:contextualSpacing/>
              <w:rPr>
                <w:rFonts w:ascii="Verdana" w:eastAsia="Times" w:hAnsi="Verdana"/>
              </w:rPr>
            </w:pPr>
          </w:p>
        </w:tc>
      </w:tr>
      <w:tr w:rsidR="00C73208" w:rsidRPr="00E3700D" w:rsidTr="00FF53E2">
        <w:trPr>
          <w:trHeight w:val="226"/>
        </w:trPr>
        <w:tc>
          <w:tcPr>
            <w:tcW w:w="1418" w:type="dxa"/>
          </w:tcPr>
          <w:p w:rsidR="00C73208" w:rsidRPr="00E3700D" w:rsidRDefault="00C73208" w:rsidP="00FF53E2">
            <w:pPr>
              <w:contextualSpacing/>
              <w:rPr>
                <w:rFonts w:ascii="Verdana" w:eastAsia="Times" w:hAnsi="Verdana"/>
              </w:rPr>
            </w:pPr>
          </w:p>
        </w:tc>
        <w:tc>
          <w:tcPr>
            <w:tcW w:w="3764" w:type="dxa"/>
          </w:tcPr>
          <w:p w:rsidR="00C73208" w:rsidRPr="005156A3" w:rsidRDefault="00C73208" w:rsidP="005156A3">
            <w:pPr>
              <w:contextualSpacing/>
              <w:rPr>
                <w:rFonts w:ascii="Verdana" w:hAnsi="Verdana"/>
                <w:lang w:val="nn-NO"/>
              </w:rPr>
            </w:pPr>
            <w:r w:rsidRPr="005156A3">
              <w:rPr>
                <w:rFonts w:ascii="Verdana" w:hAnsi="Verdana"/>
                <w:lang w:val="nn-NO"/>
              </w:rPr>
              <w:t xml:space="preserve">Solveig T. Grinder </w:t>
            </w:r>
          </w:p>
        </w:tc>
        <w:tc>
          <w:tcPr>
            <w:tcW w:w="4599" w:type="dxa"/>
          </w:tcPr>
          <w:p w:rsidR="00C73208" w:rsidRDefault="00C73208" w:rsidP="00FF53E2">
            <w:pPr>
              <w:contextualSpacing/>
              <w:rPr>
                <w:rFonts w:ascii="Verdana" w:eastAsia="Times" w:hAnsi="Verdana"/>
              </w:rPr>
            </w:pPr>
          </w:p>
        </w:tc>
      </w:tr>
      <w:tr w:rsidR="00C73208" w:rsidRPr="00E3700D" w:rsidTr="00FF53E2">
        <w:trPr>
          <w:trHeight w:val="226"/>
        </w:trPr>
        <w:tc>
          <w:tcPr>
            <w:tcW w:w="1418" w:type="dxa"/>
          </w:tcPr>
          <w:p w:rsidR="00C73208" w:rsidRPr="00E3700D" w:rsidRDefault="00C73208" w:rsidP="00FF53E2">
            <w:pPr>
              <w:contextualSpacing/>
              <w:rPr>
                <w:rFonts w:ascii="Verdana" w:eastAsia="Times" w:hAnsi="Verdana"/>
              </w:rPr>
            </w:pPr>
          </w:p>
        </w:tc>
        <w:tc>
          <w:tcPr>
            <w:tcW w:w="3764" w:type="dxa"/>
          </w:tcPr>
          <w:p w:rsidR="00C73208" w:rsidRPr="005156A3" w:rsidRDefault="00C45379" w:rsidP="005156A3">
            <w:pPr>
              <w:contextualSpacing/>
              <w:rPr>
                <w:rFonts w:ascii="Verdana" w:hAnsi="Verdana"/>
                <w:lang w:val="nn-NO"/>
              </w:rPr>
            </w:pPr>
            <w:r w:rsidRPr="005156A3">
              <w:rPr>
                <w:rFonts w:ascii="Verdana" w:hAnsi="Verdana"/>
                <w:lang w:val="nn-NO"/>
              </w:rPr>
              <w:t>Niels Killi</w:t>
            </w:r>
            <w:r>
              <w:rPr>
                <w:rFonts w:ascii="Verdana" w:hAnsi="Verdana"/>
                <w:lang w:val="nn-NO"/>
              </w:rPr>
              <w:t xml:space="preserve"> og vara</w:t>
            </w:r>
          </w:p>
        </w:tc>
        <w:tc>
          <w:tcPr>
            <w:tcW w:w="4599" w:type="dxa"/>
          </w:tcPr>
          <w:p w:rsidR="00C73208" w:rsidRDefault="00C73208" w:rsidP="00FF53E2">
            <w:pPr>
              <w:contextualSpacing/>
              <w:rPr>
                <w:rFonts w:ascii="Verdana" w:eastAsia="Times" w:hAnsi="Verdana"/>
              </w:rPr>
            </w:pPr>
          </w:p>
        </w:tc>
      </w:tr>
      <w:tr w:rsidR="00C45379" w:rsidRPr="00E3700D" w:rsidTr="00FF53E2">
        <w:trPr>
          <w:trHeight w:val="226"/>
        </w:trPr>
        <w:tc>
          <w:tcPr>
            <w:tcW w:w="1418" w:type="dxa"/>
          </w:tcPr>
          <w:p w:rsidR="00C45379" w:rsidRPr="00E3700D" w:rsidRDefault="00C45379" w:rsidP="00FF53E2">
            <w:pPr>
              <w:contextualSpacing/>
              <w:rPr>
                <w:rFonts w:ascii="Verdana" w:eastAsia="Times" w:hAnsi="Verdana"/>
              </w:rPr>
            </w:pPr>
          </w:p>
        </w:tc>
        <w:tc>
          <w:tcPr>
            <w:tcW w:w="3764" w:type="dxa"/>
          </w:tcPr>
          <w:p w:rsidR="00C45379" w:rsidRPr="005156A3" w:rsidRDefault="00C45379" w:rsidP="00C45379">
            <w:pPr>
              <w:contextualSpacing/>
              <w:rPr>
                <w:rFonts w:ascii="Verdana" w:hAnsi="Verdana"/>
                <w:lang w:val="nn-NO"/>
              </w:rPr>
            </w:pPr>
            <w:r>
              <w:rPr>
                <w:rFonts w:ascii="Verdana" w:hAnsi="Verdana"/>
                <w:lang w:val="nn-NO"/>
              </w:rPr>
              <w:t>Cato Karpow</w:t>
            </w:r>
            <w:r w:rsidRPr="005156A3">
              <w:rPr>
                <w:rFonts w:ascii="Verdana" w:hAnsi="Verdana"/>
                <w:lang w:val="nn-NO"/>
              </w:rPr>
              <w:t xml:space="preserve"> </w:t>
            </w:r>
            <w:r>
              <w:rPr>
                <w:rFonts w:ascii="Verdana" w:hAnsi="Verdana"/>
                <w:lang w:val="nn-NO"/>
              </w:rPr>
              <w:t>og vara</w:t>
            </w:r>
          </w:p>
        </w:tc>
        <w:tc>
          <w:tcPr>
            <w:tcW w:w="4599" w:type="dxa"/>
          </w:tcPr>
          <w:p w:rsidR="00C45379" w:rsidRDefault="00C45379" w:rsidP="00FF53E2">
            <w:pPr>
              <w:contextualSpacing/>
              <w:rPr>
                <w:rFonts w:ascii="Verdana" w:eastAsia="Times" w:hAnsi="Verdana"/>
              </w:rPr>
            </w:pPr>
          </w:p>
        </w:tc>
      </w:tr>
    </w:tbl>
    <w:p w:rsidR="002A6E20" w:rsidRDefault="002A6E20" w:rsidP="002A6E20">
      <w:pPr>
        <w:autoSpaceDE w:val="0"/>
        <w:autoSpaceDN w:val="0"/>
        <w:adjustRightInd w:val="0"/>
        <w:rPr>
          <w:b/>
          <w:bCs/>
          <w:sz w:val="24"/>
          <w:szCs w:val="24"/>
        </w:rPr>
      </w:pPr>
    </w:p>
    <w:p w:rsidR="000102E7" w:rsidRDefault="000102E7" w:rsidP="00416F88">
      <w:pPr>
        <w:rPr>
          <w:rFonts w:ascii="Verdana" w:hAnsi="Verdana"/>
          <w:b/>
          <w:u w:val="single"/>
        </w:rPr>
      </w:pPr>
    </w:p>
    <w:p w:rsidR="00416F88" w:rsidRDefault="00416F88" w:rsidP="00416F88">
      <w:pPr>
        <w:rPr>
          <w:rFonts w:ascii="Verdana" w:hAnsi="Verdana"/>
          <w:b/>
          <w:u w:val="single"/>
        </w:rPr>
      </w:pPr>
      <w:r>
        <w:rPr>
          <w:rFonts w:ascii="Verdana" w:hAnsi="Verdana"/>
          <w:b/>
          <w:u w:val="single"/>
        </w:rPr>
        <w:t>Dagsorden for møte i Faglig råd</w:t>
      </w:r>
      <w:r w:rsidR="004B0671">
        <w:rPr>
          <w:rFonts w:ascii="Verdana" w:hAnsi="Verdana"/>
          <w:b/>
          <w:u w:val="single"/>
        </w:rPr>
        <w:t xml:space="preserve"> for </w:t>
      </w:r>
      <w:r w:rsidR="005156A3">
        <w:rPr>
          <w:rFonts w:ascii="Verdana" w:hAnsi="Verdana"/>
          <w:b/>
          <w:u w:val="single"/>
        </w:rPr>
        <w:t xml:space="preserve">design og håndverk </w:t>
      </w:r>
      <w:r w:rsidR="004A565C">
        <w:rPr>
          <w:rFonts w:ascii="Verdana" w:hAnsi="Verdana"/>
          <w:b/>
          <w:u w:val="single"/>
        </w:rPr>
        <w:t>12</w:t>
      </w:r>
      <w:r w:rsidR="00C73208">
        <w:rPr>
          <w:rFonts w:ascii="Verdana" w:hAnsi="Verdana"/>
          <w:b/>
          <w:u w:val="single"/>
        </w:rPr>
        <w:t xml:space="preserve">. </w:t>
      </w:r>
      <w:r w:rsidR="004A565C">
        <w:rPr>
          <w:rFonts w:ascii="Verdana" w:hAnsi="Verdana"/>
          <w:b/>
          <w:u w:val="single"/>
        </w:rPr>
        <w:t>september</w:t>
      </w:r>
      <w:r w:rsidR="00C73208">
        <w:rPr>
          <w:rFonts w:ascii="Verdana" w:hAnsi="Verdana"/>
          <w:b/>
          <w:u w:val="single"/>
        </w:rPr>
        <w:t xml:space="preserve"> </w:t>
      </w:r>
      <w:r w:rsidR="005156A3">
        <w:rPr>
          <w:rFonts w:ascii="Verdana" w:hAnsi="Verdana"/>
          <w:b/>
          <w:u w:val="single"/>
        </w:rPr>
        <w:t>2016</w:t>
      </w:r>
      <w:r>
        <w:rPr>
          <w:rFonts w:ascii="Verdana" w:hAnsi="Verdana"/>
          <w:b/>
          <w:u w:val="single"/>
        </w:rPr>
        <w:t xml:space="preserve"> </w:t>
      </w:r>
    </w:p>
    <w:p w:rsidR="00416F88" w:rsidRDefault="00416F88" w:rsidP="00416F88">
      <w:pPr>
        <w:rPr>
          <w:rFonts w:ascii="Verdana" w:hAnsi="Verdana"/>
          <w:b/>
          <w:u w:val="single"/>
        </w:rPr>
      </w:pPr>
    </w:p>
    <w:p w:rsidR="004A565C" w:rsidRDefault="00133AFE" w:rsidP="00133AFE">
      <w:pPr>
        <w:rPr>
          <w:rFonts w:ascii="Verdana" w:hAnsi="Verdana"/>
        </w:rPr>
      </w:pPr>
      <w:r>
        <w:rPr>
          <w:rFonts w:ascii="Verdana" w:hAnsi="Verdana"/>
        </w:rPr>
        <w:t>Sak 16</w:t>
      </w:r>
      <w:r w:rsidR="009B508A">
        <w:rPr>
          <w:rFonts w:ascii="Verdana" w:hAnsi="Verdana"/>
        </w:rPr>
        <w:t>-16</w:t>
      </w:r>
      <w:r w:rsidR="00416F88" w:rsidRPr="00416F88">
        <w:rPr>
          <w:rFonts w:ascii="Verdana" w:hAnsi="Verdana"/>
        </w:rPr>
        <w:tab/>
      </w:r>
      <w:r w:rsidR="004A565C">
        <w:rPr>
          <w:rFonts w:ascii="Verdana" w:hAnsi="Verdana"/>
        </w:rPr>
        <w:t>Gjennomgangen av tilbudsstrukturen</w:t>
      </w:r>
    </w:p>
    <w:p w:rsidR="004A565C" w:rsidRDefault="004A565C" w:rsidP="00133AFE">
      <w:pPr>
        <w:rPr>
          <w:rFonts w:ascii="Verdana" w:hAnsi="Verdana"/>
        </w:rPr>
      </w:pPr>
      <w:r>
        <w:rPr>
          <w:rFonts w:ascii="Verdana" w:hAnsi="Verdana"/>
        </w:rPr>
        <w:t>Sak 17-16</w:t>
      </w:r>
      <w:r>
        <w:rPr>
          <w:rFonts w:ascii="Verdana" w:hAnsi="Verdana"/>
        </w:rPr>
        <w:tab/>
        <w:t>Realkompetansevurdering ved opptak til private skoler</w:t>
      </w:r>
    </w:p>
    <w:p w:rsidR="00416F88" w:rsidRPr="00416F88" w:rsidRDefault="00C73208" w:rsidP="00416F88">
      <w:pPr>
        <w:rPr>
          <w:rFonts w:ascii="Verdana" w:hAnsi="Verdana"/>
        </w:rPr>
      </w:pPr>
      <w:r>
        <w:rPr>
          <w:rFonts w:ascii="Verdana" w:hAnsi="Verdana"/>
        </w:rPr>
        <w:tab/>
      </w:r>
      <w:r w:rsidR="00416F88" w:rsidRPr="00416F88">
        <w:rPr>
          <w:rFonts w:ascii="Verdana" w:hAnsi="Verdana"/>
        </w:rPr>
        <w:tab/>
      </w:r>
      <w:r w:rsidR="00B81800">
        <w:rPr>
          <w:rFonts w:ascii="Verdana" w:hAnsi="Verdana"/>
        </w:rPr>
        <w:t>Orienteringssaker</w:t>
      </w:r>
    </w:p>
    <w:p w:rsidR="00416F88" w:rsidRPr="00416F88" w:rsidRDefault="00416F88" w:rsidP="00B81800">
      <w:pPr>
        <w:ind w:left="1410" w:hanging="1410"/>
        <w:rPr>
          <w:rFonts w:ascii="Verdana" w:hAnsi="Verdana"/>
        </w:rPr>
      </w:pPr>
      <w:r w:rsidRPr="00416F88">
        <w:rPr>
          <w:rFonts w:ascii="Verdana" w:hAnsi="Verdana"/>
        </w:rPr>
        <w:tab/>
      </w:r>
      <w:r w:rsidR="00B81800">
        <w:rPr>
          <w:rFonts w:ascii="Verdana" w:hAnsi="Verdana"/>
        </w:rPr>
        <w:t>Eventuelt</w:t>
      </w:r>
    </w:p>
    <w:p w:rsidR="002A6E20" w:rsidRPr="004D5673" w:rsidRDefault="004D5673" w:rsidP="002A6E20">
      <w:pPr>
        <w:rPr>
          <w:rFonts w:ascii="Verdana" w:hAnsi="Verdana"/>
          <w:color w:val="FF0000"/>
        </w:rPr>
      </w:pPr>
      <w:r>
        <w:rPr>
          <w:rFonts w:ascii="Verdana" w:hAnsi="Verdana"/>
        </w:rPr>
        <w:tab/>
      </w:r>
      <w:r>
        <w:rPr>
          <w:rFonts w:ascii="Verdana" w:hAnsi="Verdana"/>
        </w:rPr>
        <w:tab/>
      </w:r>
    </w:p>
    <w:p w:rsidR="002A6E20" w:rsidRDefault="002A6E20" w:rsidP="002A6E20">
      <w:pPr>
        <w:rPr>
          <w:rFonts w:ascii="Verdana" w:hAnsi="Verdana"/>
        </w:rPr>
      </w:pPr>
    </w:p>
    <w:p w:rsidR="00133AFE" w:rsidRPr="00EC47F2" w:rsidRDefault="00133AFE" w:rsidP="002A6E20">
      <w:pPr>
        <w:rPr>
          <w:rFonts w:ascii="Verdana" w:hAnsi="Verdana"/>
        </w:rPr>
      </w:pPr>
    </w:p>
    <w:tbl>
      <w:tblPr>
        <w:tblW w:w="0" w:type="auto"/>
        <w:tblLook w:val="01E0" w:firstRow="1" w:lastRow="1" w:firstColumn="1" w:lastColumn="1" w:noHBand="0" w:noVBand="0"/>
      </w:tblPr>
      <w:tblGrid>
        <w:gridCol w:w="5778"/>
        <w:gridCol w:w="3433"/>
      </w:tblGrid>
      <w:tr w:rsidR="002A6E20" w:rsidRPr="00EC47F2" w:rsidTr="00FF53E2">
        <w:tc>
          <w:tcPr>
            <w:tcW w:w="5778" w:type="dxa"/>
          </w:tcPr>
          <w:p w:rsidR="000102E7" w:rsidRDefault="000102E7" w:rsidP="00FF53E2">
            <w:pPr>
              <w:rPr>
                <w:rFonts w:ascii="Verdana" w:hAnsi="Verdana"/>
              </w:rPr>
            </w:pPr>
          </w:p>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Default="002A6E20" w:rsidP="00FF53E2">
            <w:pPr>
              <w:rPr>
                <w:rFonts w:ascii="Verdana" w:hAnsi="Verdana"/>
              </w:rPr>
            </w:pPr>
          </w:p>
          <w:p w:rsidR="008B146B" w:rsidRDefault="008B146B" w:rsidP="00FF53E2">
            <w:pPr>
              <w:rPr>
                <w:rFonts w:ascii="Verdana" w:hAnsi="Verdana"/>
              </w:rPr>
            </w:pPr>
          </w:p>
          <w:p w:rsidR="008B146B" w:rsidRDefault="008B146B" w:rsidP="00FF53E2">
            <w:pPr>
              <w:rPr>
                <w:rFonts w:ascii="Verdana" w:hAnsi="Verdana"/>
              </w:rPr>
            </w:pPr>
          </w:p>
          <w:p w:rsidR="008B146B" w:rsidRPr="00EC47F2" w:rsidRDefault="008B146B"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bl>
    <w:p w:rsidR="00B81800" w:rsidRDefault="00B81800" w:rsidP="002A6E20">
      <w:pPr>
        <w:rPr>
          <w:rFonts w:ascii="Verdana" w:hAnsi="Verdana"/>
          <w:b/>
        </w:rPr>
      </w:pPr>
    </w:p>
    <w:p w:rsidR="00C0714C" w:rsidRDefault="00C0714C" w:rsidP="002A6E20">
      <w:pPr>
        <w:rPr>
          <w:rFonts w:ascii="Verdana" w:hAnsi="Verdana"/>
          <w:b/>
        </w:rPr>
      </w:pPr>
    </w:p>
    <w:p w:rsidR="002A6E20" w:rsidRDefault="002A6E20" w:rsidP="002A6E20">
      <w:pPr>
        <w:rPr>
          <w:rFonts w:ascii="Verdana" w:hAnsi="Verdana"/>
        </w:rPr>
      </w:pPr>
    </w:p>
    <w:p w:rsidR="00C44BE9" w:rsidRDefault="00C44BE9" w:rsidP="00C44BE9">
      <w:pPr>
        <w:ind w:left="1410" w:hanging="1410"/>
        <w:rPr>
          <w:rFonts w:ascii="Verdana" w:hAnsi="Verdana"/>
          <w:b/>
        </w:rPr>
      </w:pPr>
      <w:r>
        <w:rPr>
          <w:rFonts w:ascii="Verdana" w:hAnsi="Verdana"/>
          <w:b/>
        </w:rPr>
        <w:t>Sak 16</w:t>
      </w:r>
      <w:r w:rsidR="008B146B">
        <w:rPr>
          <w:rFonts w:ascii="Verdana" w:hAnsi="Verdana"/>
          <w:b/>
        </w:rPr>
        <w:t>-1</w:t>
      </w:r>
      <w:r w:rsidR="009B508A">
        <w:rPr>
          <w:rFonts w:ascii="Verdana" w:hAnsi="Verdana"/>
          <w:b/>
        </w:rPr>
        <w:t>6</w:t>
      </w:r>
      <w:r w:rsidR="00674088" w:rsidRPr="009C4275">
        <w:rPr>
          <w:rFonts w:ascii="Verdana" w:hAnsi="Verdana"/>
          <w:b/>
        </w:rPr>
        <w:tab/>
      </w:r>
      <w:r w:rsidRPr="00C44BE9">
        <w:rPr>
          <w:rFonts w:ascii="Verdana" w:hAnsi="Verdana"/>
          <w:b/>
        </w:rPr>
        <w:t xml:space="preserve">Gjennomgangen av tilbudsstrukturen </w:t>
      </w:r>
    </w:p>
    <w:p w:rsidR="00F85154" w:rsidRDefault="004A565C" w:rsidP="00C44BE9">
      <w:pPr>
        <w:rPr>
          <w:rFonts w:ascii="Verdana" w:hAnsi="Verdana"/>
        </w:rPr>
      </w:pPr>
      <w:r>
        <w:rPr>
          <w:rFonts w:ascii="Verdana" w:hAnsi="Verdana"/>
        </w:rPr>
        <w:t>Rådet gikk i gjennom Utdanningsdirektoratets utkast til anbefaling til ny tilbudsstruktur for design og håndverk.  Rådet mener de har fått gjennomslag for mange av de anbefalingene de gav til direktoratet.</w:t>
      </w:r>
      <w:r w:rsidR="00C44BE9">
        <w:rPr>
          <w:rFonts w:ascii="Verdana" w:hAnsi="Verdana"/>
        </w:rPr>
        <w:t xml:space="preserve"> Samtidig inneholder rapporten anbefalinger som ikke bygger på rådets forslag, og som vil få store konsekvenser for fagene. </w:t>
      </w:r>
    </w:p>
    <w:p w:rsidR="00F85154" w:rsidRDefault="00F85154" w:rsidP="004A565C">
      <w:pPr>
        <w:rPr>
          <w:rFonts w:ascii="Verdana" w:hAnsi="Verdana"/>
        </w:rPr>
      </w:pPr>
    </w:p>
    <w:p w:rsidR="00F85154" w:rsidRDefault="00F85154" w:rsidP="004A565C">
      <w:pPr>
        <w:rPr>
          <w:rFonts w:ascii="Verdana" w:hAnsi="Verdana"/>
        </w:rPr>
      </w:pPr>
      <w:r>
        <w:rPr>
          <w:rFonts w:ascii="Verdana" w:hAnsi="Verdana"/>
        </w:rPr>
        <w:t xml:space="preserve">Rådsmedlemmene </w:t>
      </w:r>
      <w:r w:rsidR="00C44BE9">
        <w:rPr>
          <w:rFonts w:ascii="Verdana" w:hAnsi="Verdana"/>
        </w:rPr>
        <w:t>oppfordres</w:t>
      </w:r>
      <w:r>
        <w:rPr>
          <w:rFonts w:ascii="Verdana" w:hAnsi="Verdana"/>
        </w:rPr>
        <w:t xml:space="preserve"> til å spille inn </w:t>
      </w:r>
      <w:r w:rsidR="00C44BE9">
        <w:rPr>
          <w:rFonts w:ascii="Verdana" w:hAnsi="Verdana"/>
        </w:rPr>
        <w:t>synspunkter</w:t>
      </w:r>
      <w:r>
        <w:rPr>
          <w:rFonts w:ascii="Verdana" w:hAnsi="Verdana"/>
        </w:rPr>
        <w:t xml:space="preserve"> via SRY-medlemmer i sine organisasjoner før SRYs møte 14. september. </w:t>
      </w:r>
    </w:p>
    <w:p w:rsidR="00C44BE9" w:rsidRDefault="00C44BE9" w:rsidP="004A565C">
      <w:pPr>
        <w:rPr>
          <w:rFonts w:ascii="Verdana" w:hAnsi="Verdana"/>
        </w:rPr>
      </w:pPr>
    </w:p>
    <w:p w:rsidR="00C44BE9" w:rsidRDefault="00C44BE9" w:rsidP="004A565C">
      <w:pPr>
        <w:rPr>
          <w:rFonts w:ascii="Verdana" w:hAnsi="Verdana"/>
        </w:rPr>
      </w:pPr>
      <w:r>
        <w:rPr>
          <w:rFonts w:ascii="Verdana" w:hAnsi="Verdana"/>
        </w:rPr>
        <w:t xml:space="preserve">Kunnskapsdepartementet vil invitere de faglige rådene til møte etter at departementet har mottatt Utdanningsdirektoratets anbefaling til ny tilbudsstruktur. </w:t>
      </w:r>
    </w:p>
    <w:p w:rsidR="00CF1F24" w:rsidRDefault="00CF1F24" w:rsidP="004A565C">
      <w:pPr>
        <w:rPr>
          <w:rFonts w:ascii="Verdana" w:hAnsi="Verdana"/>
        </w:rPr>
      </w:pPr>
    </w:p>
    <w:p w:rsidR="00CF1F24" w:rsidRPr="00CF1F24" w:rsidRDefault="00033DC4" w:rsidP="004A565C">
      <w:pPr>
        <w:rPr>
          <w:rFonts w:ascii="Verdana" w:hAnsi="Verdana"/>
          <w:i/>
        </w:rPr>
      </w:pPr>
      <w:r>
        <w:rPr>
          <w:rFonts w:ascii="Verdana" w:hAnsi="Verdana"/>
          <w:i/>
        </w:rPr>
        <w:t xml:space="preserve">Vedtak: FRDH </w:t>
      </w:r>
      <w:r w:rsidR="00CF1F24" w:rsidRPr="00CF1F24">
        <w:rPr>
          <w:rFonts w:ascii="Verdana" w:hAnsi="Verdana"/>
          <w:i/>
        </w:rPr>
        <w:t xml:space="preserve">har </w:t>
      </w:r>
      <w:r>
        <w:rPr>
          <w:rFonts w:ascii="Verdana" w:hAnsi="Verdana"/>
          <w:i/>
        </w:rPr>
        <w:t xml:space="preserve">følgende </w:t>
      </w:r>
      <w:r w:rsidRPr="002652C9">
        <w:rPr>
          <w:rFonts w:ascii="Verdana" w:hAnsi="Verdana"/>
          <w:i/>
        </w:rPr>
        <w:t xml:space="preserve">uttalelser </w:t>
      </w:r>
      <w:r w:rsidR="00AC5A53" w:rsidRPr="002652C9">
        <w:rPr>
          <w:rFonts w:ascii="Verdana" w:hAnsi="Verdana"/>
          <w:i/>
        </w:rPr>
        <w:t xml:space="preserve">til </w:t>
      </w:r>
      <w:r w:rsidRPr="002652C9">
        <w:rPr>
          <w:rFonts w:ascii="Verdana" w:hAnsi="Verdana"/>
          <w:i/>
        </w:rPr>
        <w:t xml:space="preserve">Utdanningsdirektoratets </w:t>
      </w:r>
      <w:r>
        <w:rPr>
          <w:rFonts w:ascii="Verdana" w:hAnsi="Verdana"/>
          <w:i/>
        </w:rPr>
        <w:t xml:space="preserve">anbefaling til ny tilbudsstruktur for design- og håndverksfagene: </w:t>
      </w:r>
    </w:p>
    <w:p w:rsidR="004A565C" w:rsidRPr="004A565C" w:rsidRDefault="004A565C" w:rsidP="004A565C">
      <w:pPr>
        <w:rPr>
          <w:rFonts w:ascii="Verdana" w:hAnsi="Verdana"/>
        </w:rPr>
      </w:pPr>
      <w:r>
        <w:rPr>
          <w:rFonts w:ascii="Verdana" w:hAnsi="Verdana"/>
        </w:rPr>
        <w:t xml:space="preserve"> </w:t>
      </w:r>
    </w:p>
    <w:p w:rsidR="00A622C1" w:rsidRPr="00F85154" w:rsidRDefault="00A622C1" w:rsidP="00A622C1">
      <w:pPr>
        <w:rPr>
          <w:rFonts w:ascii="Verdana" w:hAnsi="Verdana"/>
          <w:b/>
        </w:rPr>
      </w:pPr>
      <w:r w:rsidRPr="00F85154">
        <w:rPr>
          <w:rFonts w:ascii="Verdana" w:hAnsi="Verdana"/>
          <w:b/>
        </w:rPr>
        <w:t xml:space="preserve">Aktivitør: </w:t>
      </w:r>
    </w:p>
    <w:p w:rsidR="00F85154" w:rsidRDefault="00F85154" w:rsidP="00F85154">
      <w:pPr>
        <w:rPr>
          <w:rFonts w:ascii="Verdana" w:hAnsi="Verdana"/>
        </w:rPr>
      </w:pPr>
      <w:r>
        <w:rPr>
          <w:rFonts w:ascii="Verdana" w:hAnsi="Verdana"/>
        </w:rPr>
        <w:t xml:space="preserve">FRDH er ikke negativ til forslaget om å flytte aktivitørfaget til utdanningsprogram for helse- og oppvekstfag. Rådet mener Utdanningsdirektoratet i sin anbefaling til endring i tilbudsstruktur anerkjenner at aktivitørfaglig kompetanse er viktig for samfunnet, og at myndighetene ønsker å bevare og utvikle faget. FRDH mener at det er viktig at vi sikrer en god utdanning i faget i den nye strukturen. Rådet har tidligere fremmet forslag om endringer i innhold, og læreplanene har blitt endret. Men, rådet mener at de ikke har fått gjennomslag for alle de innholdsendringene de mener er nødvendige. </w:t>
      </w:r>
    </w:p>
    <w:p w:rsidR="00F85154" w:rsidRDefault="00F85154" w:rsidP="00F85154">
      <w:pPr>
        <w:rPr>
          <w:rFonts w:ascii="Verdana" w:hAnsi="Verdana"/>
        </w:rPr>
      </w:pPr>
    </w:p>
    <w:p w:rsidR="00F85154" w:rsidRDefault="00F85154" w:rsidP="00F85154">
      <w:pPr>
        <w:rPr>
          <w:rFonts w:ascii="Verdana" w:hAnsi="Verdana"/>
        </w:rPr>
      </w:pPr>
      <w:r>
        <w:rPr>
          <w:rFonts w:ascii="Verdana" w:hAnsi="Verdana"/>
        </w:rPr>
        <w:t xml:space="preserve">Dersom aktivitørfaget skal rekruttere fra Vg1 helse- og oppvekstfag mener FRDH at det må føre til endringer i innhold i felles programfag på Vg1 helse- og oppvekstfag og Vg2 aktivitør. For eksempel må </w:t>
      </w:r>
      <w:r w:rsidRPr="00A622C1">
        <w:rPr>
          <w:rFonts w:ascii="Verdana" w:hAnsi="Verdana"/>
        </w:rPr>
        <w:t xml:space="preserve">helsefremmende arbeid ha større fokus på aktivitet. </w:t>
      </w:r>
      <w:r>
        <w:rPr>
          <w:rFonts w:ascii="Verdana" w:hAnsi="Verdana"/>
        </w:rPr>
        <w:t>Rådet mener dette</w:t>
      </w:r>
      <w:r w:rsidRPr="00A622C1">
        <w:rPr>
          <w:rFonts w:ascii="Verdana" w:hAnsi="Verdana"/>
        </w:rPr>
        <w:t xml:space="preserve"> også</w:t>
      </w:r>
      <w:r>
        <w:rPr>
          <w:rFonts w:ascii="Verdana" w:hAnsi="Verdana"/>
        </w:rPr>
        <w:t xml:space="preserve"> </w:t>
      </w:r>
      <w:r w:rsidR="00F54EAC">
        <w:rPr>
          <w:rFonts w:ascii="Verdana" w:hAnsi="Verdana"/>
        </w:rPr>
        <w:t>vil være relevant for andre fag i utdanningsprogrammet, spesielt barne- og ungdomsarbeiderfaget</w:t>
      </w:r>
      <w:r w:rsidRPr="00A622C1">
        <w:rPr>
          <w:rFonts w:ascii="Verdana" w:hAnsi="Verdana"/>
        </w:rPr>
        <w:t>.</w:t>
      </w:r>
      <w:r>
        <w:rPr>
          <w:rFonts w:ascii="Verdana" w:hAnsi="Verdana"/>
        </w:rPr>
        <w:t xml:space="preserve"> </w:t>
      </w:r>
    </w:p>
    <w:p w:rsidR="00F85154" w:rsidRDefault="00F85154" w:rsidP="00F85154">
      <w:pPr>
        <w:rPr>
          <w:rFonts w:ascii="Verdana" w:hAnsi="Verdana"/>
        </w:rPr>
      </w:pPr>
    </w:p>
    <w:p w:rsidR="00F85154" w:rsidRDefault="00F54EAC" w:rsidP="00A622C1">
      <w:pPr>
        <w:rPr>
          <w:rFonts w:ascii="Verdana" w:hAnsi="Verdana"/>
        </w:rPr>
      </w:pPr>
      <w:r>
        <w:rPr>
          <w:rFonts w:ascii="Verdana" w:hAnsi="Verdana"/>
        </w:rPr>
        <w:t>FRDH mener det er svært viktig at produksjonsinnholdet i faget ivaretas, og at endringene i tilbudsstrukturen ikke fører til at faget blir betydelig mer helsefokusert enn i dag. Det er viktig å opprettholde avgrensingene til andre fag, som helsearbeiderfaget. Aktivitørene jobber med mennesker med aktiviseringsbehov i alle aldre. Aktivitet og produksjon er g</w:t>
      </w:r>
      <w:r w:rsidRPr="00A622C1">
        <w:rPr>
          <w:rFonts w:ascii="Verdana" w:hAnsi="Verdana"/>
        </w:rPr>
        <w:t>runnkunnskapen</w:t>
      </w:r>
      <w:r>
        <w:rPr>
          <w:rFonts w:ascii="Verdana" w:hAnsi="Verdana"/>
        </w:rPr>
        <w:t>e</w:t>
      </w:r>
      <w:r w:rsidRPr="00A622C1">
        <w:rPr>
          <w:rFonts w:ascii="Verdana" w:hAnsi="Verdana"/>
        </w:rPr>
        <w:t xml:space="preserve"> som faget bygger på. Verktøyet</w:t>
      </w:r>
      <w:r>
        <w:rPr>
          <w:rFonts w:ascii="Verdana" w:hAnsi="Verdana"/>
        </w:rPr>
        <w:t xml:space="preserve"> for yrkesutøvelsen er håndverkskunnskap og </w:t>
      </w:r>
      <w:r w:rsidRPr="00A622C1">
        <w:rPr>
          <w:rFonts w:ascii="Verdana" w:hAnsi="Verdana"/>
        </w:rPr>
        <w:t>hverdagsaktivitet</w:t>
      </w:r>
      <w:r>
        <w:rPr>
          <w:rFonts w:ascii="Verdana" w:hAnsi="Verdana"/>
        </w:rPr>
        <w:t>. Yrkesutøverne er tilretteleggere av aktiviteter</w:t>
      </w:r>
      <w:r w:rsidRPr="00A622C1">
        <w:rPr>
          <w:rFonts w:ascii="Verdana" w:hAnsi="Verdana"/>
        </w:rPr>
        <w:t>, ikke ekspe</w:t>
      </w:r>
      <w:r>
        <w:rPr>
          <w:rFonts w:ascii="Verdana" w:hAnsi="Verdana"/>
        </w:rPr>
        <w:t xml:space="preserve">rter på aktiviteten i seg selv. En </w:t>
      </w:r>
      <w:r w:rsidRPr="002652C9">
        <w:rPr>
          <w:rFonts w:ascii="Verdana" w:hAnsi="Verdana"/>
        </w:rPr>
        <w:t>fagarbeider må ha en viss kunnskap om ulike aktiviteter, og samtidig ha evne til å tilegne seg en del aktiviteter underveis. Elevene må få tilgang til håndverkskunnskapene som en del av opplæringa</w:t>
      </w:r>
      <w:r w:rsidR="00AC5A53" w:rsidRPr="002652C9">
        <w:rPr>
          <w:rFonts w:ascii="Verdana" w:hAnsi="Verdana"/>
        </w:rPr>
        <w:t>, slik at de får med seg ferdigheter innen ulike håndverksfag</w:t>
      </w:r>
      <w:r w:rsidRPr="002652C9">
        <w:rPr>
          <w:rFonts w:ascii="Verdana" w:hAnsi="Verdana"/>
        </w:rPr>
        <w:t xml:space="preserve">. Dersom </w:t>
      </w:r>
      <w:r>
        <w:rPr>
          <w:rFonts w:ascii="Verdana" w:hAnsi="Verdana"/>
        </w:rPr>
        <w:t>aktivitørfaget skal rekruttere fra Vg1 helse- og oppvekstfag må innholdet i Vg2 aktivør endres, slik at produksjonsdelen av fag</w:t>
      </w:r>
      <w:bookmarkStart w:id="9" w:name="_GoBack"/>
      <w:bookmarkEnd w:id="9"/>
      <w:r>
        <w:rPr>
          <w:rFonts w:ascii="Verdana" w:hAnsi="Verdana"/>
        </w:rPr>
        <w:t xml:space="preserve">et ivaretas. </w:t>
      </w:r>
    </w:p>
    <w:p w:rsidR="00F54EAC" w:rsidRDefault="00F54EAC" w:rsidP="00A622C1">
      <w:pPr>
        <w:rPr>
          <w:rFonts w:ascii="Verdana" w:hAnsi="Verdana"/>
        </w:rPr>
      </w:pPr>
    </w:p>
    <w:p w:rsidR="00A622C1" w:rsidRPr="00A622C1" w:rsidRDefault="00F54EAC" w:rsidP="00A622C1">
      <w:pPr>
        <w:rPr>
          <w:rFonts w:ascii="Verdana" w:hAnsi="Verdana"/>
        </w:rPr>
      </w:pPr>
      <w:r>
        <w:rPr>
          <w:rFonts w:ascii="Verdana" w:hAnsi="Verdana"/>
        </w:rPr>
        <w:t xml:space="preserve">FRDH ønsker at Vg2 aktivitør kan tas som kryssløp fra flere av de nye utdanningsprogrammene som er foreslått for håndverksfagene.   </w:t>
      </w:r>
    </w:p>
    <w:p w:rsidR="00B607FF" w:rsidRPr="00A622C1" w:rsidRDefault="00B607FF" w:rsidP="00A622C1">
      <w:pPr>
        <w:rPr>
          <w:rFonts w:ascii="Verdana" w:hAnsi="Verdana"/>
        </w:rPr>
      </w:pPr>
    </w:p>
    <w:p w:rsidR="00A622C1" w:rsidRPr="007712FD" w:rsidRDefault="007712FD" w:rsidP="00A622C1">
      <w:pPr>
        <w:rPr>
          <w:rFonts w:ascii="Verdana" w:hAnsi="Verdana"/>
          <w:b/>
        </w:rPr>
      </w:pPr>
      <w:r>
        <w:rPr>
          <w:rFonts w:ascii="Verdana" w:hAnsi="Verdana"/>
          <w:b/>
        </w:rPr>
        <w:t>Søm og tekstilhåndverk</w:t>
      </w:r>
      <w:r w:rsidR="00A622C1" w:rsidRPr="007712FD">
        <w:rPr>
          <w:rFonts w:ascii="Verdana" w:hAnsi="Verdana"/>
          <w:b/>
        </w:rPr>
        <w:t xml:space="preserve"> </w:t>
      </w:r>
    </w:p>
    <w:p w:rsidR="00A622C1" w:rsidRPr="00A622C1" w:rsidRDefault="00A622C1" w:rsidP="00A622C1">
      <w:pPr>
        <w:rPr>
          <w:rFonts w:ascii="Verdana" w:hAnsi="Verdana"/>
        </w:rPr>
      </w:pPr>
      <w:r w:rsidRPr="00A622C1">
        <w:rPr>
          <w:rFonts w:ascii="Verdana" w:hAnsi="Verdana"/>
        </w:rPr>
        <w:t xml:space="preserve">Rådet støtter </w:t>
      </w:r>
      <w:r w:rsidR="007712FD">
        <w:rPr>
          <w:rFonts w:ascii="Verdana" w:hAnsi="Verdana"/>
        </w:rPr>
        <w:t>Utdanningsdirektoratets</w:t>
      </w:r>
      <w:r w:rsidRPr="00A622C1">
        <w:rPr>
          <w:rFonts w:ascii="Verdana" w:hAnsi="Verdana"/>
        </w:rPr>
        <w:t xml:space="preserve"> anbefaling om nytt utdanningsprogram for søm og tekstil.</w:t>
      </w:r>
    </w:p>
    <w:p w:rsidR="00B607FF" w:rsidRDefault="00B607FF" w:rsidP="00A622C1">
      <w:pPr>
        <w:rPr>
          <w:rFonts w:ascii="Verdana" w:hAnsi="Verdana"/>
          <w:b/>
        </w:rPr>
      </w:pPr>
    </w:p>
    <w:p w:rsidR="00A622C1" w:rsidRPr="00A622C1" w:rsidRDefault="00A622C1" w:rsidP="00A622C1">
      <w:pPr>
        <w:rPr>
          <w:rFonts w:ascii="Verdana" w:hAnsi="Verdana"/>
          <w:b/>
        </w:rPr>
      </w:pPr>
      <w:r w:rsidRPr="00A622C1">
        <w:rPr>
          <w:rFonts w:ascii="Verdana" w:hAnsi="Verdana"/>
          <w:b/>
        </w:rPr>
        <w:t xml:space="preserve">Interiør og utstillingsdesign. </w:t>
      </w:r>
    </w:p>
    <w:p w:rsidR="006B7526" w:rsidRDefault="00CA6509" w:rsidP="00F33C5A">
      <w:pPr>
        <w:rPr>
          <w:rFonts w:ascii="Verdana" w:hAnsi="Verdana"/>
        </w:rPr>
      </w:pPr>
      <w:r>
        <w:rPr>
          <w:rFonts w:ascii="Verdana" w:hAnsi="Verdana"/>
        </w:rPr>
        <w:t xml:space="preserve">FRDH </w:t>
      </w:r>
      <w:r w:rsidR="006B7526">
        <w:rPr>
          <w:rFonts w:ascii="Verdana" w:hAnsi="Verdana"/>
        </w:rPr>
        <w:t xml:space="preserve">støtter ikke Utdanningsdirektoratets anbefaling om å legge ned Vg2 interiør og utstillingsdesign og Vg3 interiør og Vg3 utstillingsdesign. </w:t>
      </w:r>
    </w:p>
    <w:p w:rsidR="006B7526" w:rsidRDefault="006B7526" w:rsidP="00F33C5A">
      <w:pPr>
        <w:rPr>
          <w:rFonts w:ascii="Verdana" w:hAnsi="Verdana"/>
        </w:rPr>
      </w:pPr>
    </w:p>
    <w:p w:rsidR="00CA6509" w:rsidRDefault="006B7526" w:rsidP="00F33C5A">
      <w:pPr>
        <w:rPr>
          <w:rFonts w:ascii="Verdana" w:eastAsiaTheme="minorHAnsi" w:hAnsi="Verdana" w:cstheme="minorBidi"/>
          <w:lang w:eastAsia="en-US"/>
        </w:rPr>
      </w:pPr>
      <w:r>
        <w:rPr>
          <w:rFonts w:ascii="Verdana" w:hAnsi="Verdana"/>
        </w:rPr>
        <w:t xml:space="preserve">FRDH </w:t>
      </w:r>
      <w:r w:rsidR="00CA6509">
        <w:rPr>
          <w:rFonts w:ascii="Verdana" w:hAnsi="Verdana"/>
        </w:rPr>
        <w:t xml:space="preserve">mener spørsmålene rundt interiør og utstillingsdesign tydeliggjør problemstillinger om hvor målrettet man kan forvente at elever går gjennom utdanningssystemet. </w:t>
      </w:r>
      <w:r w:rsidR="00F33C5A">
        <w:rPr>
          <w:rFonts w:ascii="Verdana" w:hAnsi="Verdana"/>
        </w:rPr>
        <w:t xml:space="preserve">Ikke alle elever er like </w:t>
      </w:r>
      <w:r w:rsidR="00F33C5A">
        <w:rPr>
          <w:rFonts w:ascii="Verdana" w:hAnsi="Verdana"/>
        </w:rPr>
        <w:lastRenderedPageBreak/>
        <w:t xml:space="preserve">opptatte av å rette seg inn mot et spesielt yrke eller videre studier. </w:t>
      </w:r>
      <w:r w:rsidR="00CA6509">
        <w:rPr>
          <w:rFonts w:ascii="Verdana" w:hAnsi="Verdana"/>
        </w:rPr>
        <w:t xml:space="preserve">Rådet er enig i at det ikke er ønskelig at elever skal gå </w:t>
      </w:r>
      <w:r w:rsidR="00F33C5A">
        <w:rPr>
          <w:rFonts w:ascii="Verdana" w:hAnsi="Verdana"/>
        </w:rPr>
        <w:t>igjennom</w:t>
      </w:r>
      <w:r w:rsidR="00CA6509">
        <w:rPr>
          <w:rFonts w:ascii="Verdana" w:hAnsi="Verdana"/>
        </w:rPr>
        <w:t xml:space="preserve"> en </w:t>
      </w:r>
      <w:r w:rsidR="00F33C5A">
        <w:rPr>
          <w:rFonts w:ascii="Verdana" w:hAnsi="Verdana"/>
        </w:rPr>
        <w:t>utdanning</w:t>
      </w:r>
      <w:r w:rsidR="00CA6509">
        <w:rPr>
          <w:rFonts w:ascii="Verdana" w:hAnsi="Verdana"/>
        </w:rPr>
        <w:t xml:space="preserve"> som ikke fører til relevant arbeid.</w:t>
      </w:r>
      <w:r w:rsidR="0046417D">
        <w:rPr>
          <w:rFonts w:ascii="Verdana" w:hAnsi="Verdana"/>
        </w:rPr>
        <w:t xml:space="preserve"> </w:t>
      </w:r>
      <w:r w:rsidR="00F33C5A">
        <w:rPr>
          <w:rFonts w:ascii="Verdana" w:hAnsi="Verdana"/>
        </w:rPr>
        <w:t>Samtidig mener rådet at det er viktig å gi elever tilbud om en utdanning som møter deres faglige interesser og gi de en mulighet til fullføre videregående opplæring med en kompetanse de ønsker seg. Interiør og utstillingsdesign er et tilbud som appellerer til mange elever som ønsker seg en praktisk, estetisk videregående utdanning.</w:t>
      </w:r>
      <w:r w:rsidR="0046417D">
        <w:rPr>
          <w:rFonts w:ascii="Verdana" w:hAnsi="Verdana"/>
        </w:rPr>
        <w:t xml:space="preserve"> </w:t>
      </w:r>
      <w:r w:rsidR="0046417D" w:rsidRPr="0046417D">
        <w:rPr>
          <w:rFonts w:ascii="Verdana" w:hAnsi="Verdana"/>
          <w:color w:val="8DB3E2" w:themeColor="text2" w:themeTint="66"/>
        </w:rPr>
        <w:t>De etterspør også fagbrev for denne utdanni</w:t>
      </w:r>
      <w:r w:rsidR="0046417D">
        <w:rPr>
          <w:rFonts w:ascii="Verdana" w:hAnsi="Verdana"/>
          <w:color w:val="8DB3E2" w:themeColor="text2" w:themeTint="66"/>
        </w:rPr>
        <w:t>n</w:t>
      </w:r>
      <w:r w:rsidR="0046417D" w:rsidRPr="0046417D">
        <w:rPr>
          <w:rFonts w:ascii="Verdana" w:hAnsi="Verdana"/>
          <w:color w:val="8DB3E2" w:themeColor="text2" w:themeTint="66"/>
        </w:rPr>
        <w:t>gen.</w:t>
      </w:r>
      <w:r w:rsidR="00F33C5A" w:rsidRPr="0046417D">
        <w:rPr>
          <w:rFonts w:ascii="Verdana" w:hAnsi="Verdana"/>
          <w:color w:val="8DB3E2" w:themeColor="text2" w:themeTint="66"/>
        </w:rPr>
        <w:t xml:space="preserve"> </w:t>
      </w:r>
      <w:r w:rsidR="00F33C5A">
        <w:rPr>
          <w:rFonts w:ascii="Verdana" w:hAnsi="Verdana"/>
        </w:rPr>
        <w:t xml:space="preserve">Rådet mener studieforberedende utdanningsprogram for kunst, design og arkitektur ikke kan ivareta disse elevene på samme måte, da dette tilbudet ikke i like stor grad er praktisk innrettet. </w:t>
      </w:r>
    </w:p>
    <w:p w:rsidR="00CA6509" w:rsidRDefault="00CA6509" w:rsidP="00A622C1">
      <w:pPr>
        <w:rPr>
          <w:rFonts w:ascii="Verdana" w:hAnsi="Verdana"/>
        </w:rPr>
      </w:pPr>
    </w:p>
    <w:p w:rsidR="00F33C5A" w:rsidRDefault="00F33C5A" w:rsidP="00F33C5A">
      <w:pPr>
        <w:rPr>
          <w:rFonts w:ascii="Verdana" w:eastAsiaTheme="minorHAnsi" w:hAnsi="Verdana" w:cstheme="minorBidi"/>
          <w:lang w:eastAsia="en-US"/>
        </w:rPr>
      </w:pPr>
      <w:r>
        <w:rPr>
          <w:rFonts w:ascii="Verdana" w:eastAsiaTheme="minorHAnsi" w:hAnsi="Verdana" w:cstheme="minorBidi"/>
          <w:lang w:eastAsia="en-US"/>
        </w:rPr>
        <w:t>Rådet mener også at Utdanningsdirektoratets argument om at utdanningen ikke fører til relevant arbeid kan diskuteres. Hva er relevant arbeid for interiørkonsulenter og utstillingsdesignere? Rådet mener de</w:t>
      </w:r>
      <w:r w:rsidR="0046417D" w:rsidRPr="0046417D">
        <w:rPr>
          <w:rFonts w:ascii="Verdana" w:eastAsiaTheme="minorHAnsi" w:hAnsi="Verdana" w:cstheme="minorBidi"/>
          <w:color w:val="8DB3E2" w:themeColor="text2" w:themeTint="66"/>
          <w:lang w:eastAsia="en-US"/>
        </w:rPr>
        <w:t>t</w:t>
      </w:r>
      <w:r w:rsidRPr="0046417D">
        <w:rPr>
          <w:rFonts w:ascii="Verdana" w:eastAsiaTheme="minorHAnsi" w:hAnsi="Verdana" w:cstheme="minorBidi"/>
          <w:color w:val="8DB3E2" w:themeColor="text2" w:themeTint="66"/>
          <w:lang w:eastAsia="en-US"/>
        </w:rPr>
        <w:t xml:space="preserve"> </w:t>
      </w:r>
      <w:r>
        <w:rPr>
          <w:rFonts w:ascii="Verdana" w:eastAsiaTheme="minorHAnsi" w:hAnsi="Verdana" w:cstheme="minorBidi"/>
          <w:lang w:eastAsia="en-US"/>
        </w:rPr>
        <w:t xml:space="preserve">er relevant å jobbe i butikker som selger maling, interiør og møbler. Faget er ikke like spisset som andre fag, og arbeidsmarkedet for nyutdannede utøvere er bredt. </w:t>
      </w:r>
    </w:p>
    <w:p w:rsidR="00CA6509" w:rsidRDefault="00CA6509" w:rsidP="00A622C1">
      <w:pPr>
        <w:rPr>
          <w:rFonts w:ascii="Verdana" w:hAnsi="Verdana"/>
        </w:rPr>
      </w:pPr>
    </w:p>
    <w:p w:rsidR="00F33C5A" w:rsidRDefault="00F33C5A" w:rsidP="00F33C5A">
      <w:pPr>
        <w:rPr>
          <w:rFonts w:ascii="Verdana" w:eastAsiaTheme="minorHAnsi" w:hAnsi="Verdana" w:cstheme="minorBidi"/>
          <w:lang w:eastAsia="en-US"/>
        </w:rPr>
      </w:pPr>
      <w:r>
        <w:rPr>
          <w:rFonts w:ascii="Verdana" w:eastAsiaTheme="minorHAnsi" w:hAnsi="Verdana" w:cstheme="minorBidi"/>
          <w:lang w:eastAsia="en-US"/>
        </w:rPr>
        <w:t>Innspill fra skoler gir informasjon om at elevene får jobb etter endt utdanning. Bildet kan være li</w:t>
      </w:r>
      <w:r w:rsidRPr="0046417D">
        <w:rPr>
          <w:rFonts w:ascii="Verdana" w:eastAsiaTheme="minorHAnsi" w:hAnsi="Verdana" w:cstheme="minorBidi"/>
          <w:color w:val="FF0000"/>
          <w:lang w:eastAsia="en-US"/>
        </w:rPr>
        <w:t>k</w:t>
      </w:r>
      <w:r>
        <w:rPr>
          <w:rFonts w:ascii="Verdana" w:eastAsiaTheme="minorHAnsi" w:hAnsi="Verdana" w:cstheme="minorBidi"/>
          <w:lang w:eastAsia="en-US"/>
        </w:rPr>
        <w:t>t</w:t>
      </w:r>
      <w:r w:rsidR="0046417D">
        <w:rPr>
          <w:rFonts w:ascii="Verdana" w:eastAsiaTheme="minorHAnsi" w:hAnsi="Verdana" w:cstheme="minorBidi"/>
          <w:color w:val="4F81BD" w:themeColor="accent1"/>
          <w:lang w:eastAsia="en-US"/>
        </w:rPr>
        <w:t>t</w:t>
      </w:r>
      <w:r>
        <w:rPr>
          <w:rFonts w:ascii="Verdana" w:eastAsiaTheme="minorHAnsi" w:hAnsi="Verdana" w:cstheme="minorBidi"/>
          <w:lang w:eastAsia="en-US"/>
        </w:rPr>
        <w:t xml:space="preserve"> ulikt i ulike deler av landet. Men rådets inntrykk er at utdanningene ikke har så lav verdsetting som det Utdanningsdirektoratet har lagt til grunn. Det mangler imidlertid god statistikk over situasjonen. </w:t>
      </w:r>
    </w:p>
    <w:p w:rsidR="00F33C5A" w:rsidRDefault="00F33C5A" w:rsidP="00F33C5A">
      <w:pPr>
        <w:rPr>
          <w:rFonts w:ascii="Verdana" w:eastAsiaTheme="minorHAnsi" w:hAnsi="Verdana" w:cstheme="minorBidi"/>
          <w:lang w:eastAsia="en-US"/>
        </w:rPr>
      </w:pPr>
    </w:p>
    <w:p w:rsidR="00A622C1" w:rsidRDefault="00F33C5A" w:rsidP="00A622C1">
      <w:pPr>
        <w:rPr>
          <w:rFonts w:ascii="Verdana" w:hAnsi="Verdana"/>
        </w:rPr>
      </w:pPr>
      <w:r>
        <w:rPr>
          <w:rFonts w:ascii="Verdana" w:hAnsi="Verdana"/>
        </w:rPr>
        <w:t>Interiør og u</w:t>
      </w:r>
      <w:r w:rsidR="00DC648D">
        <w:rPr>
          <w:rFonts w:ascii="Verdana" w:hAnsi="Verdana"/>
        </w:rPr>
        <w:t>t</w:t>
      </w:r>
      <w:r>
        <w:rPr>
          <w:rFonts w:ascii="Verdana" w:hAnsi="Verdana"/>
        </w:rPr>
        <w:t xml:space="preserve">stillingsdesign tilbys ved </w:t>
      </w:r>
      <w:r w:rsidR="00A622C1" w:rsidRPr="00A622C1">
        <w:rPr>
          <w:rFonts w:ascii="Verdana" w:hAnsi="Verdana"/>
        </w:rPr>
        <w:t>36 skoler i 18 fylker.</w:t>
      </w:r>
      <w:r w:rsidR="00DC648D">
        <w:rPr>
          <w:rFonts w:ascii="Verdana" w:hAnsi="Verdana"/>
        </w:rPr>
        <w:t xml:space="preserve"> Ved å legge ned dette tilbudet vil fylkeskommunene </w:t>
      </w:r>
      <w:r w:rsidR="0046417D">
        <w:rPr>
          <w:rFonts w:ascii="Verdana" w:hAnsi="Verdana"/>
        </w:rPr>
        <w:t xml:space="preserve">ha færre utdanningsalternativer </w:t>
      </w:r>
      <w:r w:rsidR="00DC648D">
        <w:rPr>
          <w:rFonts w:ascii="Verdana" w:hAnsi="Verdana"/>
        </w:rPr>
        <w:t xml:space="preserve">å tilby </w:t>
      </w:r>
      <w:r w:rsidR="00A622C1" w:rsidRPr="00A622C1">
        <w:rPr>
          <w:rFonts w:ascii="Verdana" w:hAnsi="Verdana"/>
        </w:rPr>
        <w:t xml:space="preserve">elevene. </w:t>
      </w:r>
      <w:r w:rsidR="00DC648D">
        <w:rPr>
          <w:rFonts w:ascii="Verdana" w:hAnsi="Verdana"/>
        </w:rPr>
        <w:t xml:space="preserve">FRDH tror ikke det er realistisk å anta at det store flertallet av elevene som ville valgt interiør og utstillingsdesign nå vil velge studieforberedende utdanningsprogram for kunst, design og arkitektur.  </w:t>
      </w:r>
    </w:p>
    <w:p w:rsidR="00F33C5A" w:rsidRDefault="00F33C5A" w:rsidP="00A622C1">
      <w:pPr>
        <w:rPr>
          <w:rFonts w:ascii="Verdana" w:eastAsiaTheme="minorHAnsi" w:hAnsi="Verdana" w:cstheme="minorBidi"/>
          <w:lang w:eastAsia="en-US"/>
        </w:rPr>
      </w:pPr>
    </w:p>
    <w:p w:rsidR="009F15ED" w:rsidRPr="006F7E5D" w:rsidRDefault="009F15ED" w:rsidP="002A6E20">
      <w:pPr>
        <w:rPr>
          <w:rFonts w:ascii="Verdana" w:hAnsi="Verdana"/>
          <w:color w:val="4F81BD" w:themeColor="accent1"/>
        </w:rPr>
      </w:pPr>
      <w:r>
        <w:rPr>
          <w:rFonts w:ascii="Verdana" w:hAnsi="Verdana"/>
        </w:rPr>
        <w:t xml:space="preserve">Varehandelen </w:t>
      </w:r>
      <w:r w:rsidR="00DC648D">
        <w:rPr>
          <w:rFonts w:ascii="Verdana" w:hAnsi="Verdana"/>
        </w:rPr>
        <w:t xml:space="preserve">er et komplisert arbeidsmarked. Dette kommer også fram av Utdanningsdirektoratets vurderinger av salgsfaget. Dette er en bransje som </w:t>
      </w:r>
      <w:r>
        <w:rPr>
          <w:rFonts w:ascii="Verdana" w:hAnsi="Verdana"/>
        </w:rPr>
        <w:t xml:space="preserve">ikke </w:t>
      </w:r>
      <w:r w:rsidR="006F7E5D" w:rsidRPr="006F7E5D">
        <w:rPr>
          <w:rFonts w:ascii="Verdana" w:hAnsi="Verdana"/>
          <w:color w:val="4F81BD" w:themeColor="accent1"/>
        </w:rPr>
        <w:t>er</w:t>
      </w:r>
      <w:r w:rsidR="006F7E5D">
        <w:rPr>
          <w:rFonts w:ascii="Verdana" w:hAnsi="Verdana"/>
        </w:rPr>
        <w:t xml:space="preserve"> </w:t>
      </w:r>
      <w:r>
        <w:rPr>
          <w:rFonts w:ascii="Verdana" w:hAnsi="Verdana"/>
        </w:rPr>
        <w:t xml:space="preserve">tydelige på hva de ønsker </w:t>
      </w:r>
      <w:r w:rsidR="00DC648D">
        <w:rPr>
          <w:rFonts w:ascii="Verdana" w:hAnsi="Verdana"/>
        </w:rPr>
        <w:t>av</w:t>
      </w:r>
      <w:r>
        <w:rPr>
          <w:rFonts w:ascii="Verdana" w:hAnsi="Verdana"/>
        </w:rPr>
        <w:t xml:space="preserve"> kompetanse. </w:t>
      </w:r>
      <w:r w:rsidR="00DC648D">
        <w:rPr>
          <w:rFonts w:ascii="Verdana" w:hAnsi="Verdana"/>
        </w:rPr>
        <w:t>FRDH mener interiør og utstillingsdesign har fått en tøffere vurdering e</w:t>
      </w:r>
      <w:r w:rsidR="006F7E5D">
        <w:rPr>
          <w:rFonts w:ascii="Verdana" w:hAnsi="Verdana"/>
        </w:rPr>
        <w:t xml:space="preserve">nn salgsfaget på dette punktet </w:t>
      </w:r>
      <w:r w:rsidR="006F7E5D" w:rsidRPr="006F7E5D">
        <w:rPr>
          <w:rFonts w:ascii="Verdana" w:hAnsi="Verdana"/>
          <w:color w:val="4F81BD" w:themeColor="accent1"/>
        </w:rPr>
        <w:t>og at det er etterspørsel i arbeidsmarkedet etter elevene kompetanse.</w:t>
      </w:r>
    </w:p>
    <w:p w:rsidR="004D619D" w:rsidRDefault="009F15ED" w:rsidP="002A6E20">
      <w:pPr>
        <w:rPr>
          <w:rFonts w:ascii="Verdana" w:hAnsi="Verdana"/>
        </w:rPr>
      </w:pPr>
      <w:r>
        <w:rPr>
          <w:rFonts w:ascii="Verdana" w:hAnsi="Verdana"/>
        </w:rPr>
        <w:t xml:space="preserve"> </w:t>
      </w:r>
    </w:p>
    <w:p w:rsidR="004D619D" w:rsidRPr="007A2EDF" w:rsidRDefault="00D65A02" w:rsidP="002A6E20">
      <w:pPr>
        <w:rPr>
          <w:rFonts w:ascii="Verdana" w:hAnsi="Verdana"/>
          <w:b/>
        </w:rPr>
      </w:pPr>
      <w:r w:rsidRPr="007A2EDF">
        <w:rPr>
          <w:rFonts w:ascii="Verdana" w:hAnsi="Verdana"/>
          <w:b/>
        </w:rPr>
        <w:t>Trehå</w:t>
      </w:r>
      <w:r w:rsidR="004D619D" w:rsidRPr="007A2EDF">
        <w:rPr>
          <w:rFonts w:ascii="Verdana" w:hAnsi="Verdana"/>
          <w:b/>
        </w:rPr>
        <w:t>ndverksfagene</w:t>
      </w:r>
    </w:p>
    <w:p w:rsidR="006B7526" w:rsidRDefault="006B7526" w:rsidP="002A6E20">
      <w:pPr>
        <w:rPr>
          <w:rFonts w:ascii="Verdana" w:hAnsi="Verdana"/>
        </w:rPr>
      </w:pPr>
      <w:r>
        <w:rPr>
          <w:rFonts w:ascii="Verdana" w:hAnsi="Verdana"/>
        </w:rPr>
        <w:t>FRDH støtter ikke Utdanningsdirektoratets forslag om nedleggelse av Vg2 båtbyggerfag og Vg2 design og trearbeid. Rådet støtter ikke forslaget om å flytte møbelsnekkerfaget til Vg2 treteknikk og forslaget om å endre opplæringsmodell for bøkkerfaget, orgelbyggerfaget, trebåtbyggerfaget,</w:t>
      </w:r>
      <w:r w:rsidR="006F7E5D">
        <w:rPr>
          <w:rFonts w:ascii="Verdana" w:hAnsi="Verdana"/>
        </w:rPr>
        <w:t xml:space="preserve"> </w:t>
      </w:r>
      <w:r w:rsidR="006F7E5D" w:rsidRPr="006F7E5D">
        <w:rPr>
          <w:rFonts w:ascii="Verdana" w:hAnsi="Verdana"/>
          <w:color w:val="4F81BD" w:themeColor="accent1"/>
        </w:rPr>
        <w:t>komposittbåtbyggerfaget</w:t>
      </w:r>
      <w:r w:rsidR="006F7E5D">
        <w:rPr>
          <w:rFonts w:ascii="Verdana" w:hAnsi="Verdana"/>
        </w:rPr>
        <w:t>,</w:t>
      </w:r>
      <w:r>
        <w:rPr>
          <w:rFonts w:ascii="Verdana" w:hAnsi="Verdana"/>
        </w:rPr>
        <w:t xml:space="preserve"> tredreierfaget og treskjærerfaget fra 2+2-modell til særløpsmodell. </w:t>
      </w:r>
    </w:p>
    <w:p w:rsidR="006B7526" w:rsidRDefault="006B7526" w:rsidP="002A6E20">
      <w:pPr>
        <w:rPr>
          <w:rFonts w:ascii="Verdana" w:hAnsi="Verdana"/>
        </w:rPr>
      </w:pPr>
    </w:p>
    <w:p w:rsidR="006B7526" w:rsidRPr="006B7526" w:rsidRDefault="006B7526" w:rsidP="006B7526">
      <w:pPr>
        <w:rPr>
          <w:rFonts w:ascii="Verdana" w:hAnsi="Verdana"/>
        </w:rPr>
      </w:pPr>
      <w:r>
        <w:rPr>
          <w:rFonts w:ascii="Verdana" w:hAnsi="Verdana"/>
        </w:rPr>
        <w:t>KS tar dissens i spørsmålet om nedleggelse av Vg2-tilbud og omgjøring til særløpsfag. KS mener fylkeskommunene</w:t>
      </w:r>
      <w:r w:rsidRPr="006B7526">
        <w:rPr>
          <w:rFonts w:ascii="Verdana" w:hAnsi="Verdana"/>
        </w:rPr>
        <w:t xml:space="preserve"> har vanskeligheter for å tilby mange små Vg2. De</w:t>
      </w:r>
      <w:r>
        <w:rPr>
          <w:rFonts w:ascii="Verdana" w:hAnsi="Verdana"/>
        </w:rPr>
        <w:t>rfor er særløpsordningen god</w:t>
      </w:r>
      <w:r w:rsidRPr="006B7526">
        <w:rPr>
          <w:rFonts w:ascii="Verdana" w:hAnsi="Verdana"/>
        </w:rPr>
        <w:t>. Særløpsmodell</w:t>
      </w:r>
      <w:r>
        <w:rPr>
          <w:rFonts w:ascii="Verdana" w:hAnsi="Verdana"/>
        </w:rPr>
        <w:t>er</w:t>
      </w:r>
      <w:r w:rsidRPr="006B7526">
        <w:rPr>
          <w:rFonts w:ascii="Verdana" w:hAnsi="Verdana"/>
        </w:rPr>
        <w:t xml:space="preserve"> har en fordel i at det er en sterkere finansiering. </w:t>
      </w:r>
      <w:r>
        <w:rPr>
          <w:rFonts w:ascii="Verdana" w:hAnsi="Verdana"/>
        </w:rPr>
        <w:t>Bedriftene kan</w:t>
      </w:r>
      <w:r w:rsidRPr="006B7526">
        <w:rPr>
          <w:rFonts w:ascii="Verdana" w:hAnsi="Verdana"/>
        </w:rPr>
        <w:t xml:space="preserve"> kjøpe kurs</w:t>
      </w:r>
      <w:r>
        <w:rPr>
          <w:rFonts w:ascii="Verdana" w:hAnsi="Verdana"/>
        </w:rPr>
        <w:t xml:space="preserve"> og lignende opplæring for sine lærlinger. KS mener </w:t>
      </w:r>
      <w:r w:rsidRPr="006B7526">
        <w:rPr>
          <w:rFonts w:ascii="Verdana" w:hAnsi="Verdana"/>
        </w:rPr>
        <w:t xml:space="preserve">kompetansesentre eller lignende vil kunne styrke </w:t>
      </w:r>
      <w:r>
        <w:rPr>
          <w:rFonts w:ascii="Verdana" w:hAnsi="Verdana"/>
        </w:rPr>
        <w:t>særløps</w:t>
      </w:r>
      <w:r w:rsidRPr="006B7526">
        <w:rPr>
          <w:rFonts w:ascii="Verdana" w:hAnsi="Verdana"/>
        </w:rPr>
        <w:t>ordningen</w:t>
      </w:r>
      <w:r>
        <w:rPr>
          <w:rFonts w:ascii="Verdana" w:hAnsi="Verdana"/>
        </w:rPr>
        <w:t xml:space="preserve"> ytterligere</w:t>
      </w:r>
      <w:r w:rsidRPr="006B7526">
        <w:rPr>
          <w:rFonts w:ascii="Verdana" w:hAnsi="Verdana"/>
        </w:rPr>
        <w:t xml:space="preserve">. </w:t>
      </w:r>
    </w:p>
    <w:p w:rsidR="006B7526" w:rsidRDefault="006B7526" w:rsidP="002A6E20">
      <w:pPr>
        <w:rPr>
          <w:rFonts w:ascii="Verdana" w:hAnsi="Verdana"/>
        </w:rPr>
      </w:pPr>
      <w:r>
        <w:rPr>
          <w:rFonts w:ascii="Verdana" w:hAnsi="Verdana"/>
        </w:rPr>
        <w:t xml:space="preserve">  </w:t>
      </w:r>
    </w:p>
    <w:p w:rsidR="004D619D" w:rsidRDefault="004D619D" w:rsidP="002A6E20">
      <w:pPr>
        <w:rPr>
          <w:rFonts w:ascii="Verdana" w:hAnsi="Verdana"/>
        </w:rPr>
      </w:pPr>
      <w:r>
        <w:rPr>
          <w:rFonts w:ascii="Verdana" w:hAnsi="Verdana"/>
        </w:rPr>
        <w:t>F</w:t>
      </w:r>
      <w:r w:rsidR="00DC648D">
        <w:rPr>
          <w:rFonts w:ascii="Verdana" w:hAnsi="Verdana"/>
        </w:rPr>
        <w:t>RDH mener det er godt dokumentert at trehåndverksfagene er verdsatt i arbeidslivet. B</w:t>
      </w:r>
      <w:r>
        <w:rPr>
          <w:rFonts w:ascii="Verdana" w:hAnsi="Verdana"/>
        </w:rPr>
        <w:t xml:space="preserve">ransjene </w:t>
      </w:r>
      <w:r w:rsidR="00DC648D">
        <w:rPr>
          <w:rFonts w:ascii="Verdana" w:hAnsi="Verdana"/>
        </w:rPr>
        <w:t xml:space="preserve">har spilt inn til rådet at de </w:t>
      </w:r>
      <w:r>
        <w:rPr>
          <w:rFonts w:ascii="Verdana" w:hAnsi="Verdana"/>
        </w:rPr>
        <w:t xml:space="preserve">ønsker mer opplæring i skole. De melder inn </w:t>
      </w:r>
      <w:r w:rsidR="00DC648D">
        <w:rPr>
          <w:rFonts w:ascii="Verdana" w:hAnsi="Verdana"/>
        </w:rPr>
        <w:t>at elevene i dag ikke kan nok. FRDH mener Utdanningsdirektoratets f</w:t>
      </w:r>
      <w:r>
        <w:rPr>
          <w:rFonts w:ascii="Verdana" w:hAnsi="Verdana"/>
        </w:rPr>
        <w:t xml:space="preserve">orslaget </w:t>
      </w:r>
      <w:r w:rsidR="00DC648D">
        <w:rPr>
          <w:rFonts w:ascii="Verdana" w:hAnsi="Verdana"/>
        </w:rPr>
        <w:t>til ny tilbudsstruktur for disse fagene ikke</w:t>
      </w:r>
      <w:r>
        <w:rPr>
          <w:rFonts w:ascii="Verdana" w:hAnsi="Verdana"/>
        </w:rPr>
        <w:t xml:space="preserve"> svarer på dette. En særløpsmodell legger tvert </w:t>
      </w:r>
      <w:r w:rsidR="00DC648D">
        <w:rPr>
          <w:rFonts w:ascii="Verdana" w:hAnsi="Verdana"/>
        </w:rPr>
        <w:t>imot</w:t>
      </w:r>
      <w:r>
        <w:rPr>
          <w:rFonts w:ascii="Verdana" w:hAnsi="Verdana"/>
        </w:rPr>
        <w:t xml:space="preserve"> mer av ansvaret for opplæringen over på bedriftene. Denne anbefalingen kan ikke sies å legge verdsetting i arbeidslivet som premiss.  </w:t>
      </w:r>
    </w:p>
    <w:p w:rsidR="00A26D0B" w:rsidRDefault="00A26D0B" w:rsidP="00A26D0B">
      <w:pPr>
        <w:rPr>
          <w:rFonts w:ascii="Verdana" w:hAnsi="Verdana"/>
        </w:rPr>
      </w:pPr>
    </w:p>
    <w:p w:rsidR="00A26D0B" w:rsidRDefault="00A26D0B" w:rsidP="00A26D0B">
      <w:pPr>
        <w:rPr>
          <w:rFonts w:ascii="Verdana" w:hAnsi="Verdana"/>
        </w:rPr>
      </w:pPr>
      <w:r>
        <w:rPr>
          <w:rFonts w:ascii="Verdana" w:hAnsi="Verdana"/>
        </w:rPr>
        <w:t xml:space="preserve">FRDH mener Vg1 bygg- og anleggsteknikk ikke ivaretar håndverksfagene. Rådet stiller spørsmålstegn ved direktoratets argument om at det legges til rette for tidligere opplæring i fagene og at fagene gjøres bedre kjent ved at de rekrutterer fra Vg1 bygg- og anleggsteknikk. FRDH mener dette ikke stemmer. Tvert i mot viser læreplanen for bygg- og anleggsteknikk at hovedfokus rettes mot bygninger og anlegg med tilhørende tekniske installasjoner. </w:t>
      </w:r>
      <w:r w:rsidRPr="00A26D0B">
        <w:rPr>
          <w:rFonts w:ascii="Verdana" w:hAnsi="Verdana"/>
        </w:rPr>
        <w:t xml:space="preserve">Det er stor forskjell på industribygging og håndverk. Rådet ønsker at fagene skal bli synlige på Vg1. Med </w:t>
      </w:r>
      <w:r>
        <w:rPr>
          <w:rFonts w:ascii="Verdana" w:hAnsi="Verdana"/>
        </w:rPr>
        <w:t>Utdanningsdirektoratets anbefaling til ny struktur</w:t>
      </w:r>
      <w:r w:rsidRPr="00A26D0B">
        <w:rPr>
          <w:rFonts w:ascii="Verdana" w:hAnsi="Verdana"/>
        </w:rPr>
        <w:t xml:space="preserve"> blir dette borte. </w:t>
      </w:r>
    </w:p>
    <w:p w:rsidR="00A26D0B" w:rsidRPr="00A26D0B" w:rsidRDefault="00A26D0B" w:rsidP="00A26D0B">
      <w:pPr>
        <w:rPr>
          <w:rFonts w:ascii="Verdana" w:hAnsi="Verdana"/>
        </w:rPr>
      </w:pPr>
    </w:p>
    <w:p w:rsidR="00B04699" w:rsidRDefault="00A26D0B" w:rsidP="00A26D0B">
      <w:pPr>
        <w:rPr>
          <w:rFonts w:ascii="Verdana" w:hAnsi="Verdana"/>
        </w:rPr>
      </w:pPr>
      <w:r>
        <w:rPr>
          <w:rFonts w:ascii="Verdana" w:hAnsi="Verdana"/>
        </w:rPr>
        <w:lastRenderedPageBreak/>
        <w:t xml:space="preserve">FRDH står fast ved sitt forslag om at et eget utdanningsprogram for snekker- og trehåndverksfag er det som i størst grad vil ivareta god opplæring i </w:t>
      </w:r>
      <w:r w:rsidR="008A0B69">
        <w:rPr>
          <w:rFonts w:ascii="Verdana" w:hAnsi="Verdana"/>
        </w:rPr>
        <w:t>trebearbeidings</w:t>
      </w:r>
      <w:r>
        <w:rPr>
          <w:rFonts w:ascii="Verdana" w:hAnsi="Verdana"/>
        </w:rPr>
        <w:t>fagene, og møte arbeidslivets behov for kompetanse i trehåndverksfag</w:t>
      </w:r>
      <w:r w:rsidR="008A0B69">
        <w:rPr>
          <w:rFonts w:ascii="Verdana" w:hAnsi="Verdana"/>
        </w:rPr>
        <w:t xml:space="preserve"> </w:t>
      </w:r>
      <w:r w:rsidR="008A0B69" w:rsidRPr="008A0B69">
        <w:rPr>
          <w:rFonts w:ascii="Verdana" w:hAnsi="Verdana"/>
          <w:color w:val="4F81BD" w:themeColor="accent1"/>
        </w:rPr>
        <w:t>og opprettholde den immatriellekulturarven</w:t>
      </w:r>
      <w:r>
        <w:rPr>
          <w:rFonts w:ascii="Verdana" w:hAnsi="Verdana"/>
        </w:rPr>
        <w:t>. Rådet mener dette utdanningsprogrammet ikke vil være særlig annerledes enn de andre små utdanningsprogrammene Utdanningsdirektoratet anbefaler å opprette.</w:t>
      </w:r>
      <w:r w:rsidR="008A0B69">
        <w:rPr>
          <w:rFonts w:ascii="Verdana" w:hAnsi="Verdana"/>
        </w:rPr>
        <w:t xml:space="preserve"> </w:t>
      </w:r>
      <w:r w:rsidR="00E14ABF" w:rsidRPr="00B04699">
        <w:rPr>
          <w:rFonts w:ascii="Verdana" w:hAnsi="Verdana"/>
          <w:color w:val="4F81BD" w:themeColor="accent1"/>
        </w:rPr>
        <w:t xml:space="preserve">FRDH foreslår </w:t>
      </w:r>
      <w:r w:rsidR="004E26BA">
        <w:rPr>
          <w:rFonts w:ascii="Verdana" w:hAnsi="Verdana"/>
          <w:color w:val="4F81BD" w:themeColor="accent1"/>
        </w:rPr>
        <w:t xml:space="preserve">i utviklingsredegjørelsen </w:t>
      </w:r>
      <w:r w:rsidR="00E14ABF" w:rsidRPr="00B04699">
        <w:rPr>
          <w:rFonts w:ascii="Verdana" w:hAnsi="Verdana"/>
          <w:color w:val="4F81BD" w:themeColor="accent1"/>
        </w:rPr>
        <w:t xml:space="preserve">et kryssløp for vg2 Møbel-, trevare- og innredningssnekkeren (design og trearbeid og treteknikk), dette vil kunne gå hvis det opprettholdes et eget Vg1 trehåndverksfag, da elevene vil få grunnleggende opplæring i bruk av verktøy og </w:t>
      </w:r>
      <w:r w:rsidR="00B04699">
        <w:rPr>
          <w:rFonts w:ascii="Verdana" w:hAnsi="Verdana"/>
          <w:color w:val="4F81BD" w:themeColor="accent1"/>
        </w:rPr>
        <w:t>håndverks</w:t>
      </w:r>
      <w:r w:rsidR="00E14ABF" w:rsidRPr="00B04699">
        <w:rPr>
          <w:rFonts w:ascii="Verdana" w:hAnsi="Verdana"/>
          <w:color w:val="4F81BD" w:themeColor="accent1"/>
        </w:rPr>
        <w:t>teknikker på Vg1. Vg2 treteknikk gir i dag opplæring kun for treindustrien.</w:t>
      </w:r>
      <w:r>
        <w:rPr>
          <w:rFonts w:ascii="Verdana" w:hAnsi="Verdana"/>
        </w:rPr>
        <w:t xml:space="preserve"> </w:t>
      </w:r>
    </w:p>
    <w:p w:rsidR="00A26D0B" w:rsidRDefault="00A26D0B" w:rsidP="00A26D0B">
      <w:pPr>
        <w:rPr>
          <w:rFonts w:ascii="Verdana" w:hAnsi="Verdana"/>
        </w:rPr>
      </w:pPr>
      <w:r>
        <w:rPr>
          <w:rFonts w:ascii="Verdana" w:hAnsi="Verdana"/>
        </w:rPr>
        <w:t xml:space="preserve">Det kan vurderes å legge tilbudet til landslinjer eller landsdekkende tilbud, på samme måte som Utdanningsdirektoratet anbefaler for de andre små </w:t>
      </w:r>
      <w:r w:rsidR="00B04699">
        <w:rPr>
          <w:rFonts w:ascii="Verdana" w:hAnsi="Verdana"/>
        </w:rPr>
        <w:t>u</w:t>
      </w:r>
      <w:r>
        <w:rPr>
          <w:rFonts w:ascii="Verdana" w:hAnsi="Verdana"/>
        </w:rPr>
        <w:t xml:space="preserve">tdanningsprogrammene. </w:t>
      </w:r>
    </w:p>
    <w:p w:rsidR="00A26D0B" w:rsidRDefault="00A26D0B" w:rsidP="00A26D0B">
      <w:pPr>
        <w:rPr>
          <w:rFonts w:ascii="Verdana" w:hAnsi="Verdana"/>
        </w:rPr>
      </w:pPr>
      <w:r>
        <w:rPr>
          <w:rFonts w:ascii="Verdana" w:hAnsi="Verdana"/>
        </w:rPr>
        <w:t xml:space="preserve">Dersom Utdanningsdirektoratets anbefaling om å legge fagene til bygg- og anleggsteknikk, </w:t>
      </w:r>
      <w:r w:rsidR="006B7526">
        <w:rPr>
          <w:rFonts w:ascii="Verdana" w:hAnsi="Verdana"/>
        </w:rPr>
        <w:t>forutsetter FRDH at dette vil føre</w:t>
      </w:r>
      <w:r>
        <w:rPr>
          <w:rFonts w:ascii="Verdana" w:hAnsi="Verdana"/>
        </w:rPr>
        <w:t xml:space="preserve"> ti</w:t>
      </w:r>
      <w:r w:rsidR="006B7526">
        <w:rPr>
          <w:rFonts w:ascii="Verdana" w:hAnsi="Verdana"/>
        </w:rPr>
        <w:t xml:space="preserve">l endringer i </w:t>
      </w:r>
      <w:r w:rsidR="00B04699">
        <w:rPr>
          <w:rFonts w:ascii="Verdana" w:hAnsi="Verdana"/>
        </w:rPr>
        <w:t>læreplan</w:t>
      </w:r>
      <w:r w:rsidR="006B7526">
        <w:rPr>
          <w:rFonts w:ascii="Verdana" w:hAnsi="Verdana"/>
        </w:rPr>
        <w:t xml:space="preserve">innholdet på Vg1 bygg- og anleggsteknikk. </w:t>
      </w:r>
    </w:p>
    <w:p w:rsidR="00941CDA" w:rsidRPr="00954AF9" w:rsidRDefault="00B04699" w:rsidP="002A6E20">
      <w:pPr>
        <w:rPr>
          <w:rFonts w:ascii="Verdana" w:hAnsi="Verdana"/>
          <w:color w:val="4F81BD" w:themeColor="accent1"/>
        </w:rPr>
      </w:pPr>
      <w:r w:rsidRPr="00954AF9">
        <w:rPr>
          <w:rFonts w:ascii="Verdana" w:hAnsi="Verdana"/>
          <w:color w:val="4F81BD" w:themeColor="accent1"/>
        </w:rPr>
        <w:t xml:space="preserve">FRDH mener Vg2 trebåtbyggeren også må bestå, da dette er en utdanning som bærer Norges kulturarv og </w:t>
      </w:r>
      <w:r w:rsidR="00954AF9">
        <w:rPr>
          <w:rFonts w:ascii="Verdana" w:hAnsi="Verdana"/>
          <w:color w:val="4F81BD" w:themeColor="accent1"/>
        </w:rPr>
        <w:t>håndverks</w:t>
      </w:r>
      <w:r w:rsidRPr="00954AF9">
        <w:rPr>
          <w:rFonts w:ascii="Verdana" w:hAnsi="Verdana"/>
          <w:color w:val="4F81BD" w:themeColor="accent1"/>
        </w:rPr>
        <w:t>tradisjon. H</w:t>
      </w:r>
      <w:r w:rsidR="00954AF9">
        <w:rPr>
          <w:rFonts w:ascii="Verdana" w:hAnsi="Verdana"/>
          <w:color w:val="4F81BD" w:themeColor="accent1"/>
        </w:rPr>
        <w:t>vis båtbyggerfagene sammen med d</w:t>
      </w:r>
      <w:r w:rsidRPr="00954AF9">
        <w:rPr>
          <w:rFonts w:ascii="Verdana" w:hAnsi="Verdana"/>
          <w:color w:val="4F81BD" w:themeColor="accent1"/>
        </w:rPr>
        <w:t>e andre trebearbeidingsfagene blir lagt som særløp</w:t>
      </w:r>
      <w:r w:rsidR="00954AF9">
        <w:rPr>
          <w:rFonts w:ascii="Verdana" w:hAnsi="Verdana"/>
          <w:color w:val="4F81BD" w:themeColor="accent1"/>
        </w:rPr>
        <w:t>,</w:t>
      </w:r>
      <w:r w:rsidRPr="00954AF9">
        <w:rPr>
          <w:rFonts w:ascii="Verdana" w:hAnsi="Verdana"/>
          <w:color w:val="4F81BD" w:themeColor="accent1"/>
        </w:rPr>
        <w:t xml:space="preserve"> vil de snart bli borte og glemt</w:t>
      </w:r>
      <w:r w:rsidR="00954AF9" w:rsidRPr="00954AF9">
        <w:rPr>
          <w:rFonts w:ascii="Verdana" w:hAnsi="Verdana"/>
          <w:color w:val="4F81BD" w:themeColor="accent1"/>
        </w:rPr>
        <w:t xml:space="preserve">. </w:t>
      </w:r>
      <w:r w:rsidR="00954AF9">
        <w:rPr>
          <w:rFonts w:ascii="Verdana" w:hAnsi="Verdana"/>
          <w:color w:val="4F81BD" w:themeColor="accent1"/>
        </w:rPr>
        <w:t>FRDH er opptatt av at de tradisjonelle håndverksfagene må ha en plass i utdanningsstrukturen.</w:t>
      </w:r>
    </w:p>
    <w:p w:rsidR="00B04699" w:rsidRDefault="00B04699" w:rsidP="002A6E20">
      <w:pPr>
        <w:rPr>
          <w:rFonts w:ascii="Verdana" w:hAnsi="Verdana"/>
        </w:rPr>
      </w:pPr>
    </w:p>
    <w:p w:rsidR="00941CDA" w:rsidRPr="007712FD" w:rsidRDefault="00941CDA" w:rsidP="002A6E20">
      <w:pPr>
        <w:rPr>
          <w:rFonts w:ascii="Verdana" w:hAnsi="Verdana"/>
          <w:b/>
        </w:rPr>
      </w:pPr>
      <w:r w:rsidRPr="007712FD">
        <w:rPr>
          <w:rFonts w:ascii="Verdana" w:hAnsi="Verdana"/>
          <w:b/>
        </w:rPr>
        <w:t>Duodji</w:t>
      </w:r>
    </w:p>
    <w:p w:rsidR="00941CDA" w:rsidRDefault="007712FD" w:rsidP="002A6E20">
      <w:pPr>
        <w:rPr>
          <w:rFonts w:ascii="Verdana" w:hAnsi="Verdana"/>
        </w:rPr>
      </w:pPr>
      <w:r>
        <w:rPr>
          <w:rFonts w:ascii="Verdana" w:hAnsi="Verdana"/>
        </w:rPr>
        <w:t>FRDH s</w:t>
      </w:r>
      <w:r w:rsidR="00941CDA">
        <w:rPr>
          <w:rFonts w:ascii="Verdana" w:hAnsi="Verdana"/>
        </w:rPr>
        <w:t xml:space="preserve">tøtter </w:t>
      </w:r>
      <w:r>
        <w:rPr>
          <w:rFonts w:ascii="Verdana" w:hAnsi="Verdana"/>
        </w:rPr>
        <w:t>Utdanningsdirektoratets</w:t>
      </w:r>
      <w:r w:rsidR="00941CDA">
        <w:rPr>
          <w:rFonts w:ascii="Verdana" w:hAnsi="Verdana"/>
        </w:rPr>
        <w:t xml:space="preserve"> anbefalinger</w:t>
      </w:r>
      <w:r>
        <w:rPr>
          <w:rFonts w:ascii="Verdana" w:hAnsi="Verdana"/>
        </w:rPr>
        <w:t xml:space="preserve"> til nytt utdanningsprogram for duodji</w:t>
      </w:r>
      <w:r w:rsidR="00941CDA">
        <w:rPr>
          <w:rFonts w:ascii="Verdana" w:hAnsi="Verdana"/>
        </w:rPr>
        <w:t xml:space="preserve">. </w:t>
      </w:r>
      <w:r>
        <w:rPr>
          <w:rFonts w:ascii="Verdana" w:hAnsi="Verdana"/>
        </w:rPr>
        <w:t xml:space="preserve">Rådet understreker at det er </w:t>
      </w:r>
      <w:r w:rsidR="00941CDA">
        <w:rPr>
          <w:rFonts w:ascii="Verdana" w:hAnsi="Verdana"/>
        </w:rPr>
        <w:t>viktig at det opprettes kryssløp fra</w:t>
      </w:r>
      <w:r w:rsidR="001E08EA">
        <w:rPr>
          <w:rFonts w:ascii="Verdana" w:hAnsi="Verdana"/>
        </w:rPr>
        <w:t xml:space="preserve"> og til</w:t>
      </w:r>
      <w:r w:rsidR="00941CDA">
        <w:rPr>
          <w:rFonts w:ascii="Verdana" w:hAnsi="Verdana"/>
        </w:rPr>
        <w:t xml:space="preserve"> andre utdanningsprogram. </w:t>
      </w:r>
    </w:p>
    <w:p w:rsidR="00941CDA" w:rsidRDefault="007712FD" w:rsidP="002A6E20">
      <w:pPr>
        <w:rPr>
          <w:rFonts w:ascii="Verdana" w:hAnsi="Verdana"/>
        </w:rPr>
      </w:pPr>
      <w:r>
        <w:rPr>
          <w:rFonts w:ascii="Verdana" w:hAnsi="Verdana"/>
        </w:rPr>
        <w:t>F.eks.</w:t>
      </w:r>
      <w:r w:rsidR="001E08EA">
        <w:rPr>
          <w:rFonts w:ascii="Verdana" w:hAnsi="Verdana"/>
        </w:rPr>
        <w:t xml:space="preserve"> aktivitør. </w:t>
      </w:r>
    </w:p>
    <w:p w:rsidR="001E08EA" w:rsidRDefault="001E08EA" w:rsidP="002A6E20">
      <w:pPr>
        <w:rPr>
          <w:rFonts w:ascii="Verdana" w:hAnsi="Verdana"/>
        </w:rPr>
      </w:pPr>
    </w:p>
    <w:p w:rsidR="009A1760" w:rsidRPr="005C1923" w:rsidRDefault="009A1760" w:rsidP="009A1760">
      <w:pPr>
        <w:rPr>
          <w:rFonts w:ascii="Verdana" w:hAnsi="Verdana"/>
          <w:b/>
        </w:rPr>
      </w:pPr>
      <w:r w:rsidRPr="005C1923">
        <w:rPr>
          <w:rFonts w:ascii="Verdana" w:hAnsi="Verdana"/>
          <w:b/>
        </w:rPr>
        <w:t>Frisør, hudpleier og blomsterdekorering</w:t>
      </w:r>
    </w:p>
    <w:p w:rsidR="00B65E0F" w:rsidRDefault="009A1760" w:rsidP="00B65E0F">
      <w:pPr>
        <w:rPr>
          <w:rFonts w:ascii="Verdana" w:hAnsi="Verdana"/>
        </w:rPr>
      </w:pPr>
      <w:r>
        <w:rPr>
          <w:rFonts w:ascii="Verdana" w:hAnsi="Verdana"/>
        </w:rPr>
        <w:t>Rådet støtter opprettelsen av et nytt utdanningsprogram</w:t>
      </w:r>
      <w:r w:rsidR="006B7526">
        <w:rPr>
          <w:rFonts w:ascii="Verdana" w:hAnsi="Verdana"/>
        </w:rPr>
        <w:t xml:space="preserve"> for frisør, hudpleie og blomsterdekorering. </w:t>
      </w:r>
      <w:r w:rsidR="00B65E0F">
        <w:rPr>
          <w:rFonts w:ascii="Verdana" w:hAnsi="Verdana"/>
        </w:rPr>
        <w:t xml:space="preserve">Det er noe usikkerhet og uenighet om hvorvidt hudpleier bør legges til utdanningsprogrammet. </w:t>
      </w:r>
    </w:p>
    <w:p w:rsidR="00B65E0F" w:rsidRDefault="00B65E0F" w:rsidP="00B65E0F">
      <w:pPr>
        <w:rPr>
          <w:rFonts w:ascii="Verdana" w:hAnsi="Verdana"/>
        </w:rPr>
      </w:pPr>
    </w:p>
    <w:p w:rsidR="00B65E0F" w:rsidRDefault="006B7526" w:rsidP="006B7526">
      <w:pPr>
        <w:rPr>
          <w:rFonts w:ascii="Verdana" w:hAnsi="Verdana"/>
        </w:rPr>
      </w:pPr>
      <w:r>
        <w:rPr>
          <w:rFonts w:ascii="Verdana" w:hAnsi="Verdana"/>
        </w:rPr>
        <w:t xml:space="preserve">NHO tar dissens i spørsmålet om Utdanningsdirektoratets anbefaling om å legge hudpleier til utdanningsprogrammet. NHO mener utdanningsprogrammet ikke </w:t>
      </w:r>
      <w:r w:rsidR="00B65E0F">
        <w:rPr>
          <w:rFonts w:ascii="Verdana" w:hAnsi="Verdana"/>
        </w:rPr>
        <w:t xml:space="preserve">i </w:t>
      </w:r>
      <w:r>
        <w:rPr>
          <w:rFonts w:ascii="Verdana" w:hAnsi="Verdana"/>
        </w:rPr>
        <w:t>tilstrekkelig</w:t>
      </w:r>
      <w:r w:rsidR="00B65E0F">
        <w:rPr>
          <w:rFonts w:ascii="Verdana" w:hAnsi="Verdana"/>
        </w:rPr>
        <w:t xml:space="preserve"> grad vil kunne ivareta medisinske kunnskaper, men tvert i mot at situasjonen for medisinske kunnskaper vil </w:t>
      </w:r>
      <w:r>
        <w:rPr>
          <w:rFonts w:ascii="Verdana" w:hAnsi="Verdana"/>
        </w:rPr>
        <w:t>forverres i denne modellen. Velvære og spa-behandlinger og make-up er tilleggsbehandlinger</w:t>
      </w:r>
      <w:r w:rsidR="00B65E0F">
        <w:rPr>
          <w:rFonts w:ascii="Verdana" w:hAnsi="Verdana"/>
        </w:rPr>
        <w:t xml:space="preserve"> og utgjør ikke kjernekompetansen i faget</w:t>
      </w:r>
      <w:r>
        <w:rPr>
          <w:rFonts w:ascii="Verdana" w:hAnsi="Verdana"/>
        </w:rPr>
        <w:t xml:space="preserve">. </w:t>
      </w:r>
    </w:p>
    <w:p w:rsidR="006B7526" w:rsidRDefault="006B7526" w:rsidP="006B7526">
      <w:pPr>
        <w:rPr>
          <w:rFonts w:ascii="Verdana" w:hAnsi="Verdana"/>
        </w:rPr>
      </w:pPr>
      <w:r>
        <w:rPr>
          <w:rFonts w:ascii="Verdana" w:hAnsi="Verdana"/>
        </w:rPr>
        <w:t xml:space="preserve">  </w:t>
      </w:r>
    </w:p>
    <w:p w:rsidR="00B65E0F" w:rsidRDefault="00B65E0F" w:rsidP="00B65E0F">
      <w:pPr>
        <w:rPr>
          <w:rFonts w:ascii="Verdana" w:hAnsi="Verdana"/>
        </w:rPr>
      </w:pPr>
      <w:r>
        <w:rPr>
          <w:rFonts w:ascii="Verdana" w:hAnsi="Verdana"/>
        </w:rPr>
        <w:t xml:space="preserve">Rådet for øvrig mener hudpleierne må ta ansvar for å gi tilbakemeldinger om hva som er hensiktsmessig for deres fag. Ut fra vurderinger for de fagene FRDH har ansvar for har rådet ikke store motforestillinger. </w:t>
      </w:r>
    </w:p>
    <w:p w:rsidR="009A1760" w:rsidRDefault="009A1760" w:rsidP="009A1760">
      <w:pPr>
        <w:rPr>
          <w:rFonts w:ascii="Verdana" w:hAnsi="Verdana"/>
        </w:rPr>
      </w:pPr>
    </w:p>
    <w:p w:rsidR="009A1760" w:rsidRPr="009A1760" w:rsidRDefault="009A1760" w:rsidP="009A1760">
      <w:pPr>
        <w:rPr>
          <w:rFonts w:ascii="Verdana" w:hAnsi="Verdana"/>
          <w:b/>
        </w:rPr>
      </w:pPr>
      <w:r w:rsidRPr="009A1760">
        <w:rPr>
          <w:rFonts w:ascii="Verdana" w:hAnsi="Verdana"/>
          <w:b/>
        </w:rPr>
        <w:t>Metall- og glasshåndverk</w:t>
      </w:r>
    </w:p>
    <w:p w:rsidR="009A1760" w:rsidRDefault="009A1760" w:rsidP="009A1760">
      <w:pPr>
        <w:rPr>
          <w:rFonts w:ascii="Verdana" w:hAnsi="Verdana"/>
        </w:rPr>
      </w:pPr>
      <w:r>
        <w:rPr>
          <w:rFonts w:ascii="Verdana" w:hAnsi="Verdana"/>
        </w:rPr>
        <w:t>FRDH støtter Utdanningsdirektoratets anbefaling</w:t>
      </w:r>
      <w:r w:rsidR="00B65E0F">
        <w:rPr>
          <w:rFonts w:ascii="Verdana" w:hAnsi="Verdana"/>
        </w:rPr>
        <w:t xml:space="preserve"> for metall- og glasshåndverksfagene</w:t>
      </w:r>
      <w:r>
        <w:rPr>
          <w:rFonts w:ascii="Verdana" w:hAnsi="Verdana"/>
        </w:rPr>
        <w:t xml:space="preserve">. </w:t>
      </w:r>
    </w:p>
    <w:p w:rsidR="009A1760" w:rsidRDefault="009A1760" w:rsidP="009A1760">
      <w:pPr>
        <w:rPr>
          <w:rFonts w:ascii="Verdana" w:hAnsi="Verdana"/>
        </w:rPr>
      </w:pPr>
    </w:p>
    <w:p w:rsidR="00B65E0F" w:rsidRPr="00B65E0F" w:rsidRDefault="00B65E0F" w:rsidP="00B65E0F">
      <w:pPr>
        <w:rPr>
          <w:rFonts w:ascii="Verdana" w:hAnsi="Verdana"/>
          <w:b/>
        </w:rPr>
      </w:pPr>
      <w:r w:rsidRPr="00B65E0F">
        <w:rPr>
          <w:rFonts w:ascii="Verdana" w:hAnsi="Verdana"/>
          <w:b/>
        </w:rPr>
        <w:t xml:space="preserve">Landsdekkende tilbud og landslinjer. </w:t>
      </w:r>
    </w:p>
    <w:p w:rsidR="00B65E0F" w:rsidRPr="00B65E0F" w:rsidRDefault="00B65E0F" w:rsidP="00B65E0F">
      <w:pPr>
        <w:rPr>
          <w:rFonts w:ascii="Verdana" w:hAnsi="Verdana"/>
        </w:rPr>
      </w:pPr>
      <w:r w:rsidRPr="00B65E0F">
        <w:rPr>
          <w:rFonts w:ascii="Verdana" w:hAnsi="Verdana"/>
        </w:rPr>
        <w:t xml:space="preserve">Her støtter FRDH </w:t>
      </w:r>
      <w:r>
        <w:rPr>
          <w:rFonts w:ascii="Verdana" w:hAnsi="Verdana"/>
        </w:rPr>
        <w:t>Utdanningsdirektoratets</w:t>
      </w:r>
      <w:r w:rsidRPr="00B65E0F">
        <w:rPr>
          <w:rFonts w:ascii="Verdana" w:hAnsi="Verdana"/>
        </w:rPr>
        <w:t xml:space="preserve"> vurdering om at </w:t>
      </w:r>
      <w:r>
        <w:rPr>
          <w:rFonts w:ascii="Verdana" w:hAnsi="Verdana"/>
        </w:rPr>
        <w:t>landsdekkende tilbud og landslinjer</w:t>
      </w:r>
      <w:r w:rsidRPr="00B65E0F">
        <w:rPr>
          <w:rFonts w:ascii="Verdana" w:hAnsi="Verdana"/>
        </w:rPr>
        <w:t xml:space="preserve"> er viktig for mange av </w:t>
      </w:r>
      <w:r>
        <w:rPr>
          <w:rFonts w:ascii="Verdana" w:hAnsi="Verdana"/>
        </w:rPr>
        <w:t>design- og håndverksfagene</w:t>
      </w:r>
      <w:r w:rsidRPr="00B65E0F">
        <w:rPr>
          <w:rFonts w:ascii="Verdana" w:hAnsi="Verdana"/>
        </w:rPr>
        <w:t xml:space="preserve">. </w:t>
      </w:r>
    </w:p>
    <w:p w:rsidR="00B65E0F" w:rsidRPr="00B65E0F" w:rsidRDefault="00B65E0F" w:rsidP="00B65E0F">
      <w:pPr>
        <w:rPr>
          <w:rFonts w:ascii="Verdana" w:hAnsi="Verdana"/>
        </w:rPr>
      </w:pPr>
    </w:p>
    <w:p w:rsidR="00B65E0F" w:rsidRPr="00B65E0F" w:rsidRDefault="00B65E0F" w:rsidP="00B65E0F">
      <w:pPr>
        <w:rPr>
          <w:rFonts w:ascii="Verdana" w:hAnsi="Verdana"/>
        </w:rPr>
      </w:pPr>
      <w:r w:rsidRPr="00B65E0F">
        <w:rPr>
          <w:rFonts w:ascii="Verdana" w:hAnsi="Verdana"/>
        </w:rPr>
        <w:t>Kryssløp</w:t>
      </w:r>
    </w:p>
    <w:p w:rsidR="00B65E0F" w:rsidRPr="00B65E0F" w:rsidRDefault="00B65E0F" w:rsidP="00B65E0F">
      <w:pPr>
        <w:rPr>
          <w:rFonts w:ascii="Verdana" w:hAnsi="Verdana"/>
        </w:rPr>
      </w:pPr>
      <w:r w:rsidRPr="00B65E0F">
        <w:rPr>
          <w:rFonts w:ascii="Verdana" w:hAnsi="Verdana"/>
        </w:rPr>
        <w:t xml:space="preserve">Vurdere om dette kan meldes inn som feil? Kryssløp – s. 66. Hvor ble det av kryssløp fra tekstil og trearbeid? S. 119 – samt å innføre relevante kryssløp – i tabell, - også ta med tekstil, tre, </w:t>
      </w:r>
    </w:p>
    <w:p w:rsidR="00B65E0F" w:rsidRDefault="00B65E0F" w:rsidP="009A1760">
      <w:pPr>
        <w:rPr>
          <w:rFonts w:ascii="Verdana" w:hAnsi="Verdana"/>
        </w:rPr>
      </w:pPr>
    </w:p>
    <w:p w:rsidR="00B65E0F" w:rsidRPr="00B65E0F" w:rsidRDefault="00B65E0F" w:rsidP="009A1760">
      <w:pPr>
        <w:rPr>
          <w:rFonts w:ascii="Verdana" w:hAnsi="Verdana"/>
          <w:b/>
        </w:rPr>
      </w:pPr>
      <w:r w:rsidRPr="00B65E0F">
        <w:rPr>
          <w:rFonts w:ascii="Verdana" w:hAnsi="Verdana"/>
          <w:b/>
        </w:rPr>
        <w:t xml:space="preserve">Generelt </w:t>
      </w:r>
    </w:p>
    <w:p w:rsidR="001E08EA" w:rsidRPr="00B65E0F" w:rsidRDefault="00B65E0F" w:rsidP="002A6E20">
      <w:pPr>
        <w:rPr>
          <w:rFonts w:ascii="Verdana" w:hAnsi="Verdana"/>
        </w:rPr>
      </w:pPr>
      <w:r w:rsidRPr="00B65E0F">
        <w:rPr>
          <w:rFonts w:ascii="Verdana" w:hAnsi="Verdana"/>
        </w:rPr>
        <w:lastRenderedPageBreak/>
        <w:t>FRDH presiserer at rådets forslag, fremmet gjennom utviklingsredegjørelsen, bygger på forskning</w:t>
      </w:r>
      <w:r>
        <w:rPr>
          <w:rStyle w:val="Fotnotereferanse"/>
          <w:rFonts w:ascii="Verdana" w:hAnsi="Verdana"/>
        </w:rPr>
        <w:footnoteReference w:id="1"/>
      </w:r>
      <w:r w:rsidRPr="00B65E0F">
        <w:rPr>
          <w:rFonts w:ascii="Verdana" w:hAnsi="Verdana"/>
        </w:rPr>
        <w:t xml:space="preserve"> og svært mange innspill som viser at det kan være en u</w:t>
      </w:r>
      <w:r w:rsidR="00941CDA" w:rsidRPr="00B65E0F">
        <w:rPr>
          <w:rFonts w:ascii="Verdana" w:hAnsi="Verdana"/>
        </w:rPr>
        <w:t>tfordring for fylkeskommunene å gi go</w:t>
      </w:r>
      <w:r w:rsidRPr="00B65E0F">
        <w:rPr>
          <w:rFonts w:ascii="Verdana" w:hAnsi="Verdana"/>
        </w:rPr>
        <w:t xml:space="preserve">d opplæring i brede programfag, og at dette er tilfelle for Vg1 design og håndverk spesielt. </w:t>
      </w:r>
    </w:p>
    <w:p w:rsidR="00B65E0F" w:rsidRDefault="00B65E0F" w:rsidP="00B65E0F">
      <w:pPr>
        <w:rPr>
          <w:rFonts w:ascii="Verdana" w:hAnsi="Verdana"/>
          <w:highlight w:val="yellow"/>
        </w:rPr>
      </w:pPr>
    </w:p>
    <w:p w:rsidR="008A4375" w:rsidRPr="00C530D5" w:rsidRDefault="00B65E0F" w:rsidP="002A6E20">
      <w:pPr>
        <w:rPr>
          <w:rFonts w:ascii="Verdana" w:hAnsi="Verdana"/>
          <w:color w:val="4F81BD" w:themeColor="accent1"/>
        </w:rPr>
      </w:pPr>
      <w:r w:rsidRPr="00B65E0F">
        <w:rPr>
          <w:rFonts w:ascii="Verdana" w:hAnsi="Verdana"/>
        </w:rPr>
        <w:t>Rådet er kritisk til at modeller som legger til rette for flere veier til studiekompetanse skal bre om seg, omtalt i kapittel 3.4 i Utdanningsdirektoratets rapport. Rådet mener at ved å</w:t>
      </w:r>
      <w:r w:rsidR="008A4375" w:rsidRPr="00B65E0F">
        <w:rPr>
          <w:rFonts w:ascii="Verdana" w:hAnsi="Verdana"/>
        </w:rPr>
        <w:t xml:space="preserve"> legge opp til flere studieforberedende løp for yrkesfaglige utdanninger er man med på å gi uttrykk for at de yrkesfaglige utdanningene ikke i tilstrekkelig grad er verdsatt. </w:t>
      </w:r>
      <w:r w:rsidR="004E26BA" w:rsidRPr="00C530D5">
        <w:rPr>
          <w:rFonts w:ascii="Verdana" w:hAnsi="Verdana"/>
          <w:color w:val="4F81BD" w:themeColor="accent1"/>
        </w:rPr>
        <w:t>Det burde vært motsatt at de studieforberedte løp gir</w:t>
      </w:r>
      <w:r w:rsidR="00C530D5" w:rsidRPr="00C530D5">
        <w:rPr>
          <w:rFonts w:ascii="Verdana" w:hAnsi="Verdana"/>
          <w:color w:val="4F81BD" w:themeColor="accent1"/>
        </w:rPr>
        <w:t xml:space="preserve"> videre</w:t>
      </w:r>
      <w:r w:rsidR="004E26BA" w:rsidRPr="00C530D5">
        <w:rPr>
          <w:rFonts w:ascii="Verdana" w:hAnsi="Verdana"/>
          <w:color w:val="4F81BD" w:themeColor="accent1"/>
        </w:rPr>
        <w:t xml:space="preserve"> inngang </w:t>
      </w:r>
      <w:r w:rsidR="00C530D5" w:rsidRPr="00C530D5">
        <w:rPr>
          <w:rFonts w:ascii="Verdana" w:hAnsi="Verdana"/>
          <w:color w:val="4F81BD" w:themeColor="accent1"/>
        </w:rPr>
        <w:t>til de yrkesfaglige løpene</w:t>
      </w:r>
      <w:r w:rsidR="00C530D5">
        <w:rPr>
          <w:rFonts w:ascii="Verdana" w:hAnsi="Verdana"/>
          <w:color w:val="4F81BD" w:themeColor="accent1"/>
        </w:rPr>
        <w:t>.</w:t>
      </w:r>
    </w:p>
    <w:p w:rsidR="008A4375" w:rsidRDefault="008A4375" w:rsidP="002A6E20">
      <w:pPr>
        <w:rPr>
          <w:rFonts w:ascii="Verdana" w:hAnsi="Verdana"/>
        </w:rPr>
      </w:pPr>
    </w:p>
    <w:p w:rsidR="00E135C3" w:rsidRDefault="00E135C3" w:rsidP="00E135C3">
      <w:pPr>
        <w:rPr>
          <w:rFonts w:ascii="Verdana" w:hAnsi="Verdana"/>
          <w:b/>
        </w:rPr>
      </w:pPr>
      <w:r>
        <w:rPr>
          <w:rFonts w:ascii="Verdana" w:hAnsi="Verdana"/>
          <w:b/>
        </w:rPr>
        <w:t>Sak 17-16</w:t>
      </w:r>
      <w:r w:rsidRPr="00377E8F">
        <w:rPr>
          <w:rFonts w:ascii="Verdana" w:hAnsi="Verdana"/>
          <w:b/>
        </w:rPr>
        <w:tab/>
      </w:r>
      <w:r>
        <w:rPr>
          <w:rFonts w:ascii="Verdana" w:hAnsi="Verdana"/>
          <w:b/>
        </w:rPr>
        <w:t>Realkompetansevurdering ved opptak til private skoler</w:t>
      </w:r>
    </w:p>
    <w:p w:rsidR="00E135C3" w:rsidRPr="00E135C3" w:rsidRDefault="00E135C3" w:rsidP="00E135C3">
      <w:pPr>
        <w:rPr>
          <w:rFonts w:ascii="Verdana" w:hAnsi="Verdana"/>
        </w:rPr>
      </w:pPr>
      <w:r w:rsidRPr="00E135C3">
        <w:rPr>
          <w:rFonts w:ascii="Verdana" w:hAnsi="Verdana"/>
        </w:rPr>
        <w:t>Rådet vedtok i rådsmøtet 6. juni 2016 å få mer informasjon om vurdering av realkompetanse til voksne elever ved opptak til skoler som er godkjent ette</w:t>
      </w:r>
      <w:r>
        <w:rPr>
          <w:rFonts w:ascii="Verdana" w:hAnsi="Verdana"/>
        </w:rPr>
        <w:t>r privatskoleloven. Rådet ønsket</w:t>
      </w:r>
      <w:r w:rsidRPr="00E135C3">
        <w:rPr>
          <w:rFonts w:ascii="Verdana" w:hAnsi="Verdana"/>
        </w:rPr>
        <w:t xml:space="preserve"> mer informasjon om gjennomføring i fylkeskommunene og om regelverk. </w:t>
      </w:r>
      <w:r>
        <w:rPr>
          <w:rFonts w:ascii="Verdana" w:hAnsi="Verdana"/>
        </w:rPr>
        <w:t xml:space="preserve">I rådsmøtet 12. september gav </w:t>
      </w:r>
      <w:r w:rsidRPr="00E135C3">
        <w:rPr>
          <w:rFonts w:ascii="Verdana" w:hAnsi="Verdana"/>
        </w:rPr>
        <w:t xml:space="preserve">Juridisk avdeling 2 i Utdanningsdirektoratet en presentasjon om fylkeskommunenes plikt til å vurdere realkompetanse til voksne elever ved skoler godkjent etter privatskoleloven. </w:t>
      </w:r>
    </w:p>
    <w:p w:rsidR="00E135C3" w:rsidRDefault="00E135C3" w:rsidP="00E135C3">
      <w:pPr>
        <w:rPr>
          <w:rFonts w:ascii="Verdana" w:hAnsi="Verdana"/>
        </w:rPr>
      </w:pPr>
    </w:p>
    <w:p w:rsidR="00FA38AE" w:rsidRDefault="00FA38AE" w:rsidP="00E135C3">
      <w:pPr>
        <w:rPr>
          <w:rFonts w:ascii="Verdana" w:hAnsi="Verdana"/>
        </w:rPr>
      </w:pPr>
      <w:r>
        <w:rPr>
          <w:rFonts w:ascii="Verdana" w:hAnsi="Verdana"/>
        </w:rPr>
        <w:t>Vedlagt innkallingen ligger to dokumenter som oppsummerer presentasjonen. Se også Prop. 84 kapittel om voksne</w:t>
      </w:r>
      <w:r w:rsidR="00033DC4">
        <w:rPr>
          <w:rFonts w:ascii="Verdana" w:hAnsi="Verdana"/>
        </w:rPr>
        <w:t>,</w:t>
      </w:r>
      <w:r>
        <w:rPr>
          <w:rFonts w:ascii="Verdana" w:hAnsi="Verdana"/>
        </w:rPr>
        <w:t xml:space="preserve"> som gir et </w:t>
      </w:r>
      <w:r w:rsidR="003B3174">
        <w:rPr>
          <w:rFonts w:ascii="Verdana" w:hAnsi="Verdana"/>
        </w:rPr>
        <w:t>innblikk i tidligere prosesser rundt denne problemstillingen.</w:t>
      </w:r>
      <w:r>
        <w:rPr>
          <w:rFonts w:ascii="Verdana" w:hAnsi="Verdana"/>
        </w:rPr>
        <w:t xml:space="preserve"> </w:t>
      </w:r>
    </w:p>
    <w:p w:rsidR="003B3174" w:rsidRDefault="003B3174" w:rsidP="00E135C3">
      <w:pPr>
        <w:rPr>
          <w:rFonts w:ascii="Verdana" w:hAnsi="Verdana"/>
        </w:rPr>
      </w:pPr>
    </w:p>
    <w:p w:rsidR="00C530D5" w:rsidRDefault="003B3174" w:rsidP="00E135C3">
      <w:pPr>
        <w:rPr>
          <w:rFonts w:ascii="Verdana" w:hAnsi="Verdana"/>
        </w:rPr>
      </w:pPr>
      <w:r>
        <w:rPr>
          <w:rFonts w:ascii="Verdana" w:hAnsi="Verdana"/>
        </w:rPr>
        <w:t xml:space="preserve">Det pågår ingen prosesser knyttet til realkompetanse og voksne elever i </w:t>
      </w:r>
      <w:r w:rsidR="00033DC4">
        <w:rPr>
          <w:rFonts w:ascii="Verdana" w:hAnsi="Verdana"/>
        </w:rPr>
        <w:t>videregående opplæring</w:t>
      </w:r>
      <w:r>
        <w:rPr>
          <w:rFonts w:ascii="Verdana" w:hAnsi="Verdana"/>
        </w:rPr>
        <w:t xml:space="preserve"> nå, men FRDH kan sende innspill som belyser problemstillingen til direktoratet.</w:t>
      </w:r>
    </w:p>
    <w:p w:rsidR="003B3174" w:rsidRDefault="003B3174" w:rsidP="00E135C3">
      <w:pPr>
        <w:rPr>
          <w:rFonts w:ascii="Verdana" w:hAnsi="Verdana"/>
        </w:rPr>
      </w:pPr>
    </w:p>
    <w:p w:rsidR="003B3174" w:rsidRPr="003B3174" w:rsidRDefault="003B3174" w:rsidP="00E135C3">
      <w:pPr>
        <w:rPr>
          <w:rFonts w:ascii="Verdana" w:hAnsi="Verdana"/>
          <w:i/>
        </w:rPr>
      </w:pPr>
      <w:r w:rsidRPr="003B3174">
        <w:rPr>
          <w:rFonts w:ascii="Verdana" w:hAnsi="Verdana"/>
          <w:i/>
        </w:rPr>
        <w:t xml:space="preserve">Vedtak: FRDH fattet ingen beslutninger om hvordan </w:t>
      </w:r>
      <w:r>
        <w:rPr>
          <w:rFonts w:ascii="Verdana" w:hAnsi="Verdana"/>
          <w:i/>
        </w:rPr>
        <w:t>rådet</w:t>
      </w:r>
      <w:r w:rsidRPr="003B3174">
        <w:rPr>
          <w:rFonts w:ascii="Verdana" w:hAnsi="Verdana"/>
          <w:i/>
        </w:rPr>
        <w:t xml:space="preserve"> </w:t>
      </w:r>
      <w:r>
        <w:rPr>
          <w:rFonts w:ascii="Verdana" w:hAnsi="Verdana"/>
          <w:i/>
        </w:rPr>
        <w:t>vil</w:t>
      </w:r>
      <w:r w:rsidRPr="003B3174">
        <w:rPr>
          <w:rFonts w:ascii="Verdana" w:hAnsi="Verdana"/>
          <w:i/>
        </w:rPr>
        <w:t xml:space="preserve"> forfølge problemstillingen videre.  </w:t>
      </w:r>
    </w:p>
    <w:p w:rsidR="00C530D5" w:rsidRPr="00C530D5" w:rsidRDefault="00C530D5" w:rsidP="00C530D5">
      <w:pPr>
        <w:rPr>
          <w:rFonts w:ascii="Verdana" w:hAnsi="Verdana"/>
          <w:color w:val="4F81BD" w:themeColor="accent1"/>
        </w:rPr>
      </w:pPr>
      <w:r>
        <w:rPr>
          <w:rFonts w:ascii="Verdana" w:hAnsi="Verdana"/>
          <w:color w:val="4F81BD" w:themeColor="accent1"/>
        </w:rPr>
        <w:t>Men d</w:t>
      </w:r>
      <w:r w:rsidRPr="00C530D5">
        <w:rPr>
          <w:rFonts w:ascii="Verdana" w:hAnsi="Verdana"/>
          <w:color w:val="4F81BD" w:themeColor="accent1"/>
        </w:rPr>
        <w:t xml:space="preserve">et bør være likestilt ved realkompetansevurdering / formalkompetansevurdering av elever til offentlige og private skoler, </w:t>
      </w:r>
      <w:r>
        <w:rPr>
          <w:rFonts w:ascii="Verdana" w:hAnsi="Verdana"/>
          <w:color w:val="4F81BD" w:themeColor="accent1"/>
        </w:rPr>
        <w:t>spesielt når det er snakk om utdanning for de tradisjonelle håndverksfagene.</w:t>
      </w:r>
      <w:r w:rsidRPr="00C530D5">
        <w:rPr>
          <w:rFonts w:ascii="Verdana" w:hAnsi="Verdana"/>
          <w:color w:val="4F81BD" w:themeColor="accent1"/>
        </w:rPr>
        <w:t xml:space="preserve"> </w:t>
      </w:r>
    </w:p>
    <w:p w:rsidR="003B3174" w:rsidRDefault="003B3174" w:rsidP="00E135C3">
      <w:pPr>
        <w:rPr>
          <w:rFonts w:ascii="Verdana" w:hAnsi="Verdana"/>
        </w:rPr>
      </w:pPr>
    </w:p>
    <w:p w:rsidR="00033DC4" w:rsidRDefault="00033DC4" w:rsidP="00E135C3">
      <w:pPr>
        <w:rPr>
          <w:rFonts w:ascii="Verdana" w:hAnsi="Verdana"/>
          <w:b/>
        </w:rPr>
      </w:pPr>
      <w:r w:rsidRPr="00033DC4">
        <w:rPr>
          <w:rFonts w:ascii="Verdana" w:hAnsi="Verdana"/>
          <w:b/>
        </w:rPr>
        <w:t xml:space="preserve">Orienteringssaker </w:t>
      </w:r>
    </w:p>
    <w:p w:rsidR="00033DC4" w:rsidRPr="00033DC4" w:rsidRDefault="00033DC4" w:rsidP="00E135C3">
      <w:pPr>
        <w:rPr>
          <w:rFonts w:ascii="Verdana" w:hAnsi="Verdana"/>
        </w:rPr>
      </w:pPr>
      <w:r w:rsidRPr="00033DC4">
        <w:rPr>
          <w:rFonts w:ascii="Verdana" w:hAnsi="Verdana"/>
        </w:rPr>
        <w:t xml:space="preserve"> Det ble orientert om: </w:t>
      </w:r>
    </w:p>
    <w:p w:rsidR="00033DC4" w:rsidRDefault="00033DC4" w:rsidP="00033DC4">
      <w:pPr>
        <w:pStyle w:val="Listeavsnitt"/>
        <w:numPr>
          <w:ilvl w:val="0"/>
          <w:numId w:val="46"/>
        </w:numPr>
        <w:rPr>
          <w:rFonts w:ascii="Verdana" w:hAnsi="Verdana"/>
          <w:sz w:val="20"/>
          <w:szCs w:val="20"/>
        </w:rPr>
      </w:pPr>
      <w:r w:rsidRPr="00033DC4">
        <w:rPr>
          <w:rFonts w:ascii="Verdana" w:hAnsi="Verdana"/>
          <w:sz w:val="20"/>
          <w:szCs w:val="20"/>
        </w:rPr>
        <w:t>Møte med SRY og ledere av FR om gjennomgangen av tilbudsstrukturen</w:t>
      </w:r>
    </w:p>
    <w:p w:rsidR="00033DC4" w:rsidRDefault="00033DC4" w:rsidP="00033DC4">
      <w:pPr>
        <w:pStyle w:val="Listeavsnitt"/>
        <w:numPr>
          <w:ilvl w:val="0"/>
          <w:numId w:val="46"/>
        </w:numPr>
        <w:rPr>
          <w:rFonts w:ascii="Verdana" w:hAnsi="Verdana"/>
          <w:sz w:val="20"/>
          <w:szCs w:val="20"/>
        </w:rPr>
      </w:pPr>
      <w:r w:rsidRPr="00033DC4">
        <w:rPr>
          <w:rFonts w:ascii="Verdana" w:hAnsi="Verdana"/>
          <w:sz w:val="20"/>
          <w:szCs w:val="20"/>
        </w:rPr>
        <w:t>Modulstrukturert opplæring for voksne</w:t>
      </w:r>
    </w:p>
    <w:p w:rsidR="00033DC4" w:rsidRPr="00033DC4" w:rsidRDefault="00033DC4" w:rsidP="00033DC4">
      <w:pPr>
        <w:pStyle w:val="Listeavsnitt"/>
        <w:numPr>
          <w:ilvl w:val="0"/>
          <w:numId w:val="46"/>
        </w:numPr>
        <w:rPr>
          <w:rFonts w:ascii="Verdana" w:hAnsi="Verdana"/>
          <w:sz w:val="20"/>
          <w:szCs w:val="20"/>
        </w:rPr>
      </w:pPr>
      <w:r w:rsidRPr="00033DC4">
        <w:rPr>
          <w:rFonts w:ascii="Verdana" w:hAnsi="Verdana"/>
          <w:sz w:val="20"/>
          <w:szCs w:val="20"/>
        </w:rPr>
        <w:t>Spørring til Skole-Norge våren 2016</w:t>
      </w:r>
    </w:p>
    <w:p w:rsidR="00033DC4" w:rsidRPr="00033DC4" w:rsidRDefault="00033DC4" w:rsidP="00033DC4">
      <w:pPr>
        <w:pStyle w:val="Listeavsnitt"/>
        <w:numPr>
          <w:ilvl w:val="0"/>
          <w:numId w:val="46"/>
        </w:numPr>
        <w:rPr>
          <w:rFonts w:ascii="Verdana" w:hAnsi="Verdana"/>
          <w:sz w:val="20"/>
          <w:szCs w:val="20"/>
        </w:rPr>
      </w:pPr>
      <w:r w:rsidRPr="00033DC4">
        <w:rPr>
          <w:rFonts w:ascii="Verdana" w:hAnsi="Verdana"/>
          <w:sz w:val="20"/>
          <w:szCs w:val="20"/>
        </w:rPr>
        <w:t>Lærlingundersøkelsen 2015</w:t>
      </w:r>
    </w:p>
    <w:p w:rsidR="00033DC4" w:rsidRPr="00033DC4" w:rsidRDefault="00033DC4" w:rsidP="00033DC4">
      <w:pPr>
        <w:pStyle w:val="Listeavsnitt"/>
        <w:numPr>
          <w:ilvl w:val="0"/>
          <w:numId w:val="46"/>
        </w:numPr>
        <w:rPr>
          <w:rFonts w:ascii="Verdana" w:hAnsi="Verdana"/>
          <w:sz w:val="20"/>
          <w:szCs w:val="20"/>
        </w:rPr>
      </w:pPr>
      <w:r w:rsidRPr="00033DC4">
        <w:rPr>
          <w:rFonts w:ascii="Verdana" w:hAnsi="Verdana"/>
          <w:sz w:val="20"/>
          <w:szCs w:val="20"/>
        </w:rPr>
        <w:t>Ordning for godkjenning av utenlandsk fag- og yrkesopplæring</w:t>
      </w:r>
    </w:p>
    <w:p w:rsidR="00033DC4" w:rsidRDefault="00033DC4" w:rsidP="00033DC4">
      <w:pPr>
        <w:pStyle w:val="Listeavsnitt"/>
        <w:numPr>
          <w:ilvl w:val="0"/>
          <w:numId w:val="46"/>
        </w:numPr>
        <w:rPr>
          <w:rFonts w:ascii="Verdana" w:hAnsi="Verdana"/>
          <w:sz w:val="20"/>
          <w:szCs w:val="20"/>
        </w:rPr>
      </w:pPr>
      <w:r w:rsidRPr="00033DC4">
        <w:rPr>
          <w:rFonts w:ascii="Verdana" w:hAnsi="Verdana"/>
          <w:sz w:val="20"/>
          <w:szCs w:val="20"/>
        </w:rPr>
        <w:t>Fylkesbesøk</w:t>
      </w:r>
      <w:r>
        <w:rPr>
          <w:rFonts w:ascii="Verdana" w:hAnsi="Verdana"/>
          <w:sz w:val="20"/>
          <w:szCs w:val="20"/>
        </w:rPr>
        <w:t xml:space="preserve">, se foreløpig til program vedlagt. Flybilletter og hotell er bestilt. Videre oppfølging skjer per e-post. </w:t>
      </w:r>
    </w:p>
    <w:p w:rsidR="00033DC4" w:rsidRDefault="00033DC4" w:rsidP="00033DC4">
      <w:pPr>
        <w:pStyle w:val="Listeavsnitt"/>
        <w:numPr>
          <w:ilvl w:val="0"/>
          <w:numId w:val="46"/>
        </w:numPr>
        <w:rPr>
          <w:rFonts w:ascii="Verdana" w:hAnsi="Verdana"/>
          <w:sz w:val="20"/>
          <w:szCs w:val="20"/>
        </w:rPr>
      </w:pPr>
      <w:r>
        <w:rPr>
          <w:rFonts w:ascii="Verdana" w:hAnsi="Verdana"/>
          <w:sz w:val="20"/>
          <w:szCs w:val="20"/>
        </w:rPr>
        <w:t xml:space="preserve">Læremiddelarbeidet - </w:t>
      </w:r>
      <w:hyperlink r:id="rId10" w:history="1">
        <w:r w:rsidRPr="00152D89">
          <w:rPr>
            <w:rStyle w:val="Hyperkobling"/>
            <w:rFonts w:ascii="Verdana" w:hAnsi="Verdana"/>
            <w:sz w:val="20"/>
            <w:szCs w:val="20"/>
          </w:rPr>
          <w:t>http://www.udir.no/om-udir/tilskudd-til-laremidler/</w:t>
        </w:r>
      </w:hyperlink>
      <w:r>
        <w:rPr>
          <w:rFonts w:ascii="Verdana" w:hAnsi="Verdana"/>
          <w:sz w:val="20"/>
          <w:szCs w:val="20"/>
        </w:rPr>
        <w:t xml:space="preserve"> </w:t>
      </w:r>
    </w:p>
    <w:p w:rsidR="003B3174" w:rsidRDefault="003B3174" w:rsidP="00E135C3">
      <w:pPr>
        <w:rPr>
          <w:rFonts w:ascii="Verdana" w:hAnsi="Verdana"/>
        </w:rPr>
      </w:pPr>
    </w:p>
    <w:p w:rsidR="00F5217C" w:rsidRDefault="00C0714C" w:rsidP="002A6E20">
      <w:pPr>
        <w:rPr>
          <w:rFonts w:ascii="Verdana" w:hAnsi="Verdana"/>
          <w:b/>
        </w:rPr>
      </w:pPr>
      <w:r>
        <w:rPr>
          <w:rFonts w:ascii="Verdana" w:hAnsi="Verdana"/>
          <w:b/>
        </w:rPr>
        <w:t>Eventuelt</w:t>
      </w:r>
    </w:p>
    <w:p w:rsidR="00FB50EB" w:rsidRDefault="00FB50EB" w:rsidP="002A6E20">
      <w:pPr>
        <w:rPr>
          <w:rFonts w:ascii="Verdana" w:hAnsi="Verdana"/>
          <w:b/>
        </w:rPr>
      </w:pPr>
    </w:p>
    <w:p w:rsidR="00AE4A53" w:rsidRPr="00B632D4" w:rsidRDefault="00B632D4" w:rsidP="002A6E20">
      <w:pPr>
        <w:rPr>
          <w:rFonts w:ascii="Verdana" w:hAnsi="Verdana"/>
        </w:rPr>
      </w:pPr>
      <w:r>
        <w:rPr>
          <w:rFonts w:ascii="Verdana" w:hAnsi="Verdana"/>
          <w:b/>
        </w:rPr>
        <w:tab/>
      </w:r>
      <w:r>
        <w:rPr>
          <w:rFonts w:ascii="Verdana" w:hAnsi="Verdana"/>
        </w:rPr>
        <w:t>Det ble ikke meldt saker til eventuelt</w:t>
      </w:r>
    </w:p>
    <w:p w:rsidR="00FB50EB" w:rsidRPr="00C0714C" w:rsidRDefault="00FB50EB" w:rsidP="002A6E20">
      <w:pPr>
        <w:rPr>
          <w:rFonts w:ascii="Verdana" w:hAnsi="Verdana"/>
          <w:b/>
        </w:rPr>
      </w:pPr>
    </w:p>
    <w:sectPr w:rsidR="00FB50EB" w:rsidRPr="00C0714C" w:rsidSect="005D706B">
      <w:headerReference w:type="default" r:id="rId11"/>
      <w:footerReference w:type="default" r:id="rId12"/>
      <w:footerReference w:type="first" r:id="rId13"/>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51" w:rsidRDefault="00F94851">
      <w:r>
        <w:separator/>
      </w:r>
    </w:p>
    <w:p w:rsidR="00F94851" w:rsidRDefault="00F94851"/>
  </w:endnote>
  <w:endnote w:type="continuationSeparator" w:id="0">
    <w:p w:rsidR="00F94851" w:rsidRDefault="00F94851">
      <w:r>
        <w:continuationSeparator/>
      </w:r>
    </w:p>
    <w:p w:rsidR="00F94851" w:rsidRDefault="00F94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B" w:rsidRDefault="008B146B">
    <w:pPr>
      <w:pStyle w:val="Bunntekst"/>
    </w:pPr>
    <w:r>
      <w:rPr>
        <w:noProof/>
      </w:rPr>
      <w:drawing>
        <wp:inline distT="0" distB="0" distL="0" distR="0">
          <wp:extent cx="6297295" cy="638175"/>
          <wp:effectExtent l="0" t="0" r="825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B" w:rsidRPr="004164D3" w:rsidRDefault="00A70DDB">
    <w:pPr>
      <w:pStyle w:val="Bunntekst"/>
      <w:rPr>
        <w:sz w:val="14"/>
        <w:szCs w:val="14"/>
        <w:lang w:val="it-IT"/>
      </w:rPr>
    </w:pPr>
  </w:p>
  <w:p w:rsidR="00A70DDB" w:rsidRPr="004164D3" w:rsidRDefault="008B146B">
    <w:pPr>
      <w:pStyle w:val="Bunntekst"/>
      <w:rPr>
        <w:sz w:val="14"/>
        <w:szCs w:val="14"/>
        <w:lang w:val="it-IT"/>
      </w:rPr>
    </w:pPr>
    <w:r>
      <w:rPr>
        <w:noProof/>
        <w:sz w:val="14"/>
        <w:szCs w:val="14"/>
      </w:rPr>
      <w:drawing>
        <wp:inline distT="0" distB="0" distL="0" distR="0">
          <wp:extent cx="6297295" cy="638175"/>
          <wp:effectExtent l="0" t="0" r="825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51" w:rsidRDefault="00F94851">
      <w:r>
        <w:separator/>
      </w:r>
    </w:p>
    <w:p w:rsidR="00F94851" w:rsidRDefault="00F94851"/>
  </w:footnote>
  <w:footnote w:type="continuationSeparator" w:id="0">
    <w:p w:rsidR="00F94851" w:rsidRDefault="00F94851">
      <w:r>
        <w:continuationSeparator/>
      </w:r>
    </w:p>
    <w:p w:rsidR="00F94851" w:rsidRDefault="00F94851"/>
  </w:footnote>
  <w:footnote w:id="1">
    <w:p w:rsidR="00B65E0F" w:rsidRDefault="00B65E0F">
      <w:pPr>
        <w:pStyle w:val="Fotnotetekst"/>
      </w:pPr>
      <w:r>
        <w:rPr>
          <w:rStyle w:val="Fotnotereferanse"/>
        </w:rPr>
        <w:footnoteRef/>
      </w:r>
      <w:r>
        <w:t xml:space="preserve"> Høst, H. F.fl., 2015: Yrkesutdanninger med svak forankring i arbeidslivet. </w:t>
      </w:r>
      <w:r>
        <w:br/>
        <w:t>Tønder, A.H. og S. Skinnarland, 2015: Rekruttering til design og håndverksfagene.</w:t>
      </w:r>
    </w:p>
    <w:p w:rsidR="00B65E0F" w:rsidRDefault="00B65E0F">
      <w:pPr>
        <w:pStyle w:val="Fot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031"/>
      <w:gridCol w:w="5031"/>
    </w:tblGrid>
    <w:tr w:rsidR="00A70DDB">
      <w:tc>
        <w:tcPr>
          <w:tcW w:w="5031" w:type="dxa"/>
        </w:tcPr>
        <w:p w:rsidR="00A70DDB" w:rsidRDefault="00A70DDB" w:rsidP="005D706B">
          <w:pPr>
            <w:pStyle w:val="Topptekst"/>
            <w:tabs>
              <w:tab w:val="left" w:pos="267"/>
              <w:tab w:val="right" w:pos="9922"/>
            </w:tabs>
            <w:spacing w:after="240"/>
            <w:jc w:val="center"/>
            <w:rPr>
              <w:sz w:val="16"/>
            </w:rPr>
          </w:pPr>
        </w:p>
      </w:tc>
      <w:tc>
        <w:tcPr>
          <w:tcW w:w="5031" w:type="dxa"/>
        </w:tcPr>
        <w:p w:rsidR="00A70DDB" w:rsidRDefault="00A70DDB" w:rsidP="005D706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2652C9">
            <w:rPr>
              <w:rFonts w:ascii="Verdana" w:hAnsi="Verdana"/>
              <w:noProof/>
              <w:sz w:val="16"/>
            </w:rPr>
            <w:t>5</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2652C9">
            <w:rPr>
              <w:rFonts w:ascii="Verdana" w:hAnsi="Verdana"/>
              <w:noProof/>
              <w:sz w:val="16"/>
            </w:rPr>
            <w:t>5</w:t>
          </w:r>
          <w:r>
            <w:rPr>
              <w:rFonts w:ascii="Verdana" w:hAnsi="Verdana"/>
              <w:sz w:val="16"/>
            </w:rPr>
            <w:fldChar w:fldCharType="end"/>
          </w:r>
        </w:p>
      </w:tc>
    </w:tr>
  </w:tbl>
  <w:p w:rsidR="00A70DDB" w:rsidRDefault="00A70DDB" w:rsidP="005D706B">
    <w:pPr>
      <w:pStyle w:val="Topptekst"/>
      <w:tabs>
        <w:tab w:val="left" w:pos="267"/>
        <w:tab w:val="right" w:pos="9922"/>
      </w:tabs>
      <w:spacing w:after="240"/>
      <w:rPr>
        <w:sz w:val="16"/>
      </w:rPr>
    </w:pPr>
    <w:r>
      <w:rPr>
        <w:noProof/>
        <w:sz w:val="16"/>
      </w:rPr>
      <w:drawing>
        <wp:inline distT="0" distB="0" distL="0" distR="0" wp14:anchorId="615CD9DB" wp14:editId="421EA20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F6A3E" w:rsidRDefault="004F6A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E21"/>
    <w:multiLevelType w:val="hybridMultilevel"/>
    <w:tmpl w:val="B47C86BE"/>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D70ED0"/>
    <w:multiLevelType w:val="hybridMultilevel"/>
    <w:tmpl w:val="B7D270D6"/>
    <w:lvl w:ilvl="0" w:tplc="0414000F">
      <w:start w:val="1"/>
      <w:numFmt w:val="decimal"/>
      <w:lvlText w:val="%1."/>
      <w:lvlJc w:val="left"/>
      <w:pPr>
        <w:ind w:left="1341" w:hanging="360"/>
      </w:pPr>
    </w:lvl>
    <w:lvl w:ilvl="1" w:tplc="04140019" w:tentative="1">
      <w:start w:val="1"/>
      <w:numFmt w:val="lowerLetter"/>
      <w:lvlText w:val="%2."/>
      <w:lvlJc w:val="left"/>
      <w:pPr>
        <w:ind w:left="2061" w:hanging="360"/>
      </w:pPr>
    </w:lvl>
    <w:lvl w:ilvl="2" w:tplc="0414001B" w:tentative="1">
      <w:start w:val="1"/>
      <w:numFmt w:val="lowerRoman"/>
      <w:lvlText w:val="%3."/>
      <w:lvlJc w:val="right"/>
      <w:pPr>
        <w:ind w:left="2781" w:hanging="180"/>
      </w:pPr>
    </w:lvl>
    <w:lvl w:ilvl="3" w:tplc="0414000F" w:tentative="1">
      <w:start w:val="1"/>
      <w:numFmt w:val="decimal"/>
      <w:lvlText w:val="%4."/>
      <w:lvlJc w:val="left"/>
      <w:pPr>
        <w:ind w:left="3501" w:hanging="360"/>
      </w:pPr>
    </w:lvl>
    <w:lvl w:ilvl="4" w:tplc="04140019" w:tentative="1">
      <w:start w:val="1"/>
      <w:numFmt w:val="lowerLetter"/>
      <w:lvlText w:val="%5."/>
      <w:lvlJc w:val="left"/>
      <w:pPr>
        <w:ind w:left="4221" w:hanging="360"/>
      </w:pPr>
    </w:lvl>
    <w:lvl w:ilvl="5" w:tplc="0414001B" w:tentative="1">
      <w:start w:val="1"/>
      <w:numFmt w:val="lowerRoman"/>
      <w:lvlText w:val="%6."/>
      <w:lvlJc w:val="right"/>
      <w:pPr>
        <w:ind w:left="4941" w:hanging="180"/>
      </w:pPr>
    </w:lvl>
    <w:lvl w:ilvl="6" w:tplc="0414000F" w:tentative="1">
      <w:start w:val="1"/>
      <w:numFmt w:val="decimal"/>
      <w:lvlText w:val="%7."/>
      <w:lvlJc w:val="left"/>
      <w:pPr>
        <w:ind w:left="5661" w:hanging="360"/>
      </w:pPr>
    </w:lvl>
    <w:lvl w:ilvl="7" w:tplc="04140019" w:tentative="1">
      <w:start w:val="1"/>
      <w:numFmt w:val="lowerLetter"/>
      <w:lvlText w:val="%8."/>
      <w:lvlJc w:val="left"/>
      <w:pPr>
        <w:ind w:left="6381" w:hanging="360"/>
      </w:pPr>
    </w:lvl>
    <w:lvl w:ilvl="8" w:tplc="0414001B" w:tentative="1">
      <w:start w:val="1"/>
      <w:numFmt w:val="lowerRoman"/>
      <w:lvlText w:val="%9."/>
      <w:lvlJc w:val="right"/>
      <w:pPr>
        <w:ind w:left="7101" w:hanging="180"/>
      </w:pPr>
    </w:lvl>
  </w:abstractNum>
  <w:abstractNum w:abstractNumId="2" w15:restartNumberingAfterBreak="0">
    <w:nsid w:val="0BD521FF"/>
    <w:multiLevelType w:val="hybridMultilevel"/>
    <w:tmpl w:val="5570FA84"/>
    <w:lvl w:ilvl="0" w:tplc="DD4C2CD6">
      <w:start w:val="1"/>
      <w:numFmt w:val="decimal"/>
      <w:lvlText w:val="%1."/>
      <w:lvlJc w:val="left"/>
      <w:pPr>
        <w:ind w:left="2844" w:hanging="360"/>
      </w:pPr>
      <w:rPr>
        <w:rFonts w:hint="default"/>
      </w:rPr>
    </w:lvl>
    <w:lvl w:ilvl="1" w:tplc="04140019" w:tentative="1">
      <w:start w:val="1"/>
      <w:numFmt w:val="lowerLetter"/>
      <w:lvlText w:val="%2."/>
      <w:lvlJc w:val="left"/>
      <w:pPr>
        <w:ind w:left="3564" w:hanging="360"/>
      </w:pPr>
    </w:lvl>
    <w:lvl w:ilvl="2" w:tplc="0414001B" w:tentative="1">
      <w:start w:val="1"/>
      <w:numFmt w:val="lowerRoman"/>
      <w:lvlText w:val="%3."/>
      <w:lvlJc w:val="right"/>
      <w:pPr>
        <w:ind w:left="4284" w:hanging="180"/>
      </w:pPr>
    </w:lvl>
    <w:lvl w:ilvl="3" w:tplc="0414000F" w:tentative="1">
      <w:start w:val="1"/>
      <w:numFmt w:val="decimal"/>
      <w:lvlText w:val="%4."/>
      <w:lvlJc w:val="left"/>
      <w:pPr>
        <w:ind w:left="5004" w:hanging="360"/>
      </w:pPr>
    </w:lvl>
    <w:lvl w:ilvl="4" w:tplc="04140019" w:tentative="1">
      <w:start w:val="1"/>
      <w:numFmt w:val="lowerLetter"/>
      <w:lvlText w:val="%5."/>
      <w:lvlJc w:val="left"/>
      <w:pPr>
        <w:ind w:left="5724" w:hanging="360"/>
      </w:pPr>
    </w:lvl>
    <w:lvl w:ilvl="5" w:tplc="0414001B" w:tentative="1">
      <w:start w:val="1"/>
      <w:numFmt w:val="lowerRoman"/>
      <w:lvlText w:val="%6."/>
      <w:lvlJc w:val="right"/>
      <w:pPr>
        <w:ind w:left="6444" w:hanging="180"/>
      </w:pPr>
    </w:lvl>
    <w:lvl w:ilvl="6" w:tplc="0414000F" w:tentative="1">
      <w:start w:val="1"/>
      <w:numFmt w:val="decimal"/>
      <w:lvlText w:val="%7."/>
      <w:lvlJc w:val="left"/>
      <w:pPr>
        <w:ind w:left="7164" w:hanging="360"/>
      </w:pPr>
    </w:lvl>
    <w:lvl w:ilvl="7" w:tplc="04140019" w:tentative="1">
      <w:start w:val="1"/>
      <w:numFmt w:val="lowerLetter"/>
      <w:lvlText w:val="%8."/>
      <w:lvlJc w:val="left"/>
      <w:pPr>
        <w:ind w:left="7884" w:hanging="360"/>
      </w:pPr>
    </w:lvl>
    <w:lvl w:ilvl="8" w:tplc="0414001B" w:tentative="1">
      <w:start w:val="1"/>
      <w:numFmt w:val="lowerRoman"/>
      <w:lvlText w:val="%9."/>
      <w:lvlJc w:val="right"/>
      <w:pPr>
        <w:ind w:left="8604" w:hanging="180"/>
      </w:pPr>
    </w:lvl>
  </w:abstractNum>
  <w:abstractNum w:abstractNumId="3" w15:restartNumberingAfterBreak="0">
    <w:nsid w:val="0D1A4CDE"/>
    <w:multiLevelType w:val="hybridMultilevel"/>
    <w:tmpl w:val="319EC1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73505F"/>
    <w:multiLevelType w:val="hybridMultilevel"/>
    <w:tmpl w:val="A540F6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F8531E"/>
    <w:multiLevelType w:val="hybridMultilevel"/>
    <w:tmpl w:val="B0449C96"/>
    <w:lvl w:ilvl="0" w:tplc="9D96F7C6">
      <w:start w:val="1"/>
      <w:numFmt w:val="decimal"/>
      <w:lvlText w:val="%1."/>
      <w:lvlJc w:val="left"/>
      <w:pPr>
        <w:ind w:left="720" w:hanging="360"/>
      </w:pPr>
      <w:rPr>
        <w:rFonts w:asciiTheme="majorHAnsi" w:hAnsiTheme="majorHAnsi"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646122"/>
    <w:multiLevelType w:val="hybridMultilevel"/>
    <w:tmpl w:val="B93EF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8" w15:restartNumberingAfterBreak="0">
    <w:nsid w:val="23ED7508"/>
    <w:multiLevelType w:val="hybridMultilevel"/>
    <w:tmpl w:val="F32ECC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F66A2A"/>
    <w:multiLevelType w:val="hybridMultilevel"/>
    <w:tmpl w:val="30E08FA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2D2105C3"/>
    <w:multiLevelType w:val="hybridMultilevel"/>
    <w:tmpl w:val="9250A0C0"/>
    <w:lvl w:ilvl="0" w:tplc="0414000F">
      <w:start w:val="1"/>
      <w:numFmt w:val="decimal"/>
      <w:lvlText w:val="%1."/>
      <w:lvlJc w:val="left"/>
      <w:pPr>
        <w:ind w:left="2628" w:hanging="360"/>
      </w:pPr>
    </w:lvl>
    <w:lvl w:ilvl="1" w:tplc="04140019" w:tentative="1">
      <w:start w:val="1"/>
      <w:numFmt w:val="lowerLetter"/>
      <w:lvlText w:val="%2."/>
      <w:lvlJc w:val="left"/>
      <w:pPr>
        <w:ind w:left="3348" w:hanging="360"/>
      </w:pPr>
    </w:lvl>
    <w:lvl w:ilvl="2" w:tplc="0414001B" w:tentative="1">
      <w:start w:val="1"/>
      <w:numFmt w:val="lowerRoman"/>
      <w:lvlText w:val="%3."/>
      <w:lvlJc w:val="right"/>
      <w:pPr>
        <w:ind w:left="4068" w:hanging="180"/>
      </w:pPr>
    </w:lvl>
    <w:lvl w:ilvl="3" w:tplc="0414000F" w:tentative="1">
      <w:start w:val="1"/>
      <w:numFmt w:val="decimal"/>
      <w:lvlText w:val="%4."/>
      <w:lvlJc w:val="left"/>
      <w:pPr>
        <w:ind w:left="4788" w:hanging="360"/>
      </w:pPr>
    </w:lvl>
    <w:lvl w:ilvl="4" w:tplc="04140019" w:tentative="1">
      <w:start w:val="1"/>
      <w:numFmt w:val="lowerLetter"/>
      <w:lvlText w:val="%5."/>
      <w:lvlJc w:val="left"/>
      <w:pPr>
        <w:ind w:left="5508" w:hanging="360"/>
      </w:pPr>
    </w:lvl>
    <w:lvl w:ilvl="5" w:tplc="0414001B" w:tentative="1">
      <w:start w:val="1"/>
      <w:numFmt w:val="lowerRoman"/>
      <w:lvlText w:val="%6."/>
      <w:lvlJc w:val="right"/>
      <w:pPr>
        <w:ind w:left="6228" w:hanging="180"/>
      </w:pPr>
    </w:lvl>
    <w:lvl w:ilvl="6" w:tplc="0414000F" w:tentative="1">
      <w:start w:val="1"/>
      <w:numFmt w:val="decimal"/>
      <w:lvlText w:val="%7."/>
      <w:lvlJc w:val="left"/>
      <w:pPr>
        <w:ind w:left="6948" w:hanging="360"/>
      </w:pPr>
    </w:lvl>
    <w:lvl w:ilvl="7" w:tplc="04140019" w:tentative="1">
      <w:start w:val="1"/>
      <w:numFmt w:val="lowerLetter"/>
      <w:lvlText w:val="%8."/>
      <w:lvlJc w:val="left"/>
      <w:pPr>
        <w:ind w:left="7668" w:hanging="360"/>
      </w:pPr>
    </w:lvl>
    <w:lvl w:ilvl="8" w:tplc="0414001B" w:tentative="1">
      <w:start w:val="1"/>
      <w:numFmt w:val="lowerRoman"/>
      <w:lvlText w:val="%9."/>
      <w:lvlJc w:val="right"/>
      <w:pPr>
        <w:ind w:left="8388" w:hanging="180"/>
      </w:pPr>
    </w:lvl>
  </w:abstractNum>
  <w:abstractNum w:abstractNumId="11" w15:restartNumberingAfterBreak="0">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2" w15:restartNumberingAfterBreak="0">
    <w:nsid w:val="319F6003"/>
    <w:multiLevelType w:val="hybridMultilevel"/>
    <w:tmpl w:val="0596B498"/>
    <w:lvl w:ilvl="0" w:tplc="51A0F61A">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3" w15:restartNumberingAfterBreak="0">
    <w:nsid w:val="32274B8A"/>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4" w15:restartNumberingAfterBreak="0">
    <w:nsid w:val="33BC6DAD"/>
    <w:multiLevelType w:val="hybridMultilevel"/>
    <w:tmpl w:val="A3A2F1AA"/>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5" w15:restartNumberingAfterBreak="0">
    <w:nsid w:val="35431448"/>
    <w:multiLevelType w:val="hybridMultilevel"/>
    <w:tmpl w:val="4D3082D8"/>
    <w:lvl w:ilvl="0" w:tplc="0414000F">
      <w:start w:val="1"/>
      <w:numFmt w:val="decimal"/>
      <w:lvlText w:val="%1."/>
      <w:lvlJc w:val="left"/>
      <w:pPr>
        <w:ind w:left="1920" w:hanging="360"/>
      </w:pPr>
      <w:rPr>
        <w:rFonts w:hint="default"/>
      </w:r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16" w15:restartNumberingAfterBreak="0">
    <w:nsid w:val="37B84406"/>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7" w15:restartNumberingAfterBreak="0">
    <w:nsid w:val="382A5D77"/>
    <w:multiLevelType w:val="hybridMultilevel"/>
    <w:tmpl w:val="63E48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B446243"/>
    <w:multiLevelType w:val="hybridMultilevel"/>
    <w:tmpl w:val="91E21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B82209E"/>
    <w:multiLevelType w:val="hybridMultilevel"/>
    <w:tmpl w:val="3078BC4A"/>
    <w:lvl w:ilvl="0" w:tplc="04140001">
      <w:start w:val="1"/>
      <w:numFmt w:val="bullet"/>
      <w:lvlText w:val=""/>
      <w:lvlJc w:val="left"/>
      <w:pPr>
        <w:ind w:left="924" w:hanging="360"/>
      </w:pPr>
      <w:rPr>
        <w:rFonts w:ascii="Symbol" w:hAnsi="Symbol" w:hint="default"/>
      </w:rPr>
    </w:lvl>
    <w:lvl w:ilvl="1" w:tplc="04140003" w:tentative="1">
      <w:start w:val="1"/>
      <w:numFmt w:val="bullet"/>
      <w:lvlText w:val="o"/>
      <w:lvlJc w:val="left"/>
      <w:pPr>
        <w:ind w:left="1644" w:hanging="360"/>
      </w:pPr>
      <w:rPr>
        <w:rFonts w:ascii="Courier New" w:hAnsi="Courier New" w:cs="Courier New" w:hint="default"/>
      </w:rPr>
    </w:lvl>
    <w:lvl w:ilvl="2" w:tplc="04140005" w:tentative="1">
      <w:start w:val="1"/>
      <w:numFmt w:val="bullet"/>
      <w:lvlText w:val=""/>
      <w:lvlJc w:val="left"/>
      <w:pPr>
        <w:ind w:left="2364" w:hanging="360"/>
      </w:pPr>
      <w:rPr>
        <w:rFonts w:ascii="Wingdings" w:hAnsi="Wingdings" w:hint="default"/>
      </w:rPr>
    </w:lvl>
    <w:lvl w:ilvl="3" w:tplc="04140001" w:tentative="1">
      <w:start w:val="1"/>
      <w:numFmt w:val="bullet"/>
      <w:lvlText w:val=""/>
      <w:lvlJc w:val="left"/>
      <w:pPr>
        <w:ind w:left="3084" w:hanging="360"/>
      </w:pPr>
      <w:rPr>
        <w:rFonts w:ascii="Symbol" w:hAnsi="Symbol" w:hint="default"/>
      </w:rPr>
    </w:lvl>
    <w:lvl w:ilvl="4" w:tplc="04140003" w:tentative="1">
      <w:start w:val="1"/>
      <w:numFmt w:val="bullet"/>
      <w:lvlText w:val="o"/>
      <w:lvlJc w:val="left"/>
      <w:pPr>
        <w:ind w:left="3804" w:hanging="360"/>
      </w:pPr>
      <w:rPr>
        <w:rFonts w:ascii="Courier New" w:hAnsi="Courier New" w:cs="Courier New" w:hint="default"/>
      </w:rPr>
    </w:lvl>
    <w:lvl w:ilvl="5" w:tplc="04140005" w:tentative="1">
      <w:start w:val="1"/>
      <w:numFmt w:val="bullet"/>
      <w:lvlText w:val=""/>
      <w:lvlJc w:val="left"/>
      <w:pPr>
        <w:ind w:left="4524" w:hanging="360"/>
      </w:pPr>
      <w:rPr>
        <w:rFonts w:ascii="Wingdings" w:hAnsi="Wingdings" w:hint="default"/>
      </w:rPr>
    </w:lvl>
    <w:lvl w:ilvl="6" w:tplc="04140001" w:tentative="1">
      <w:start w:val="1"/>
      <w:numFmt w:val="bullet"/>
      <w:lvlText w:val=""/>
      <w:lvlJc w:val="left"/>
      <w:pPr>
        <w:ind w:left="5244" w:hanging="360"/>
      </w:pPr>
      <w:rPr>
        <w:rFonts w:ascii="Symbol" w:hAnsi="Symbol" w:hint="default"/>
      </w:rPr>
    </w:lvl>
    <w:lvl w:ilvl="7" w:tplc="04140003" w:tentative="1">
      <w:start w:val="1"/>
      <w:numFmt w:val="bullet"/>
      <w:lvlText w:val="o"/>
      <w:lvlJc w:val="left"/>
      <w:pPr>
        <w:ind w:left="5964" w:hanging="360"/>
      </w:pPr>
      <w:rPr>
        <w:rFonts w:ascii="Courier New" w:hAnsi="Courier New" w:cs="Courier New" w:hint="default"/>
      </w:rPr>
    </w:lvl>
    <w:lvl w:ilvl="8" w:tplc="04140005" w:tentative="1">
      <w:start w:val="1"/>
      <w:numFmt w:val="bullet"/>
      <w:lvlText w:val=""/>
      <w:lvlJc w:val="left"/>
      <w:pPr>
        <w:ind w:left="6684" w:hanging="360"/>
      </w:pPr>
      <w:rPr>
        <w:rFonts w:ascii="Wingdings" w:hAnsi="Wingdings" w:hint="default"/>
      </w:rPr>
    </w:lvl>
  </w:abstractNum>
  <w:abstractNum w:abstractNumId="20" w15:restartNumberingAfterBreak="0">
    <w:nsid w:val="3BDE674C"/>
    <w:multiLevelType w:val="hybridMultilevel"/>
    <w:tmpl w:val="D59EC3D2"/>
    <w:lvl w:ilvl="0" w:tplc="0414000F">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1" w15:restartNumberingAfterBreak="0">
    <w:nsid w:val="4345012C"/>
    <w:multiLevelType w:val="hybridMultilevel"/>
    <w:tmpl w:val="504CCFB2"/>
    <w:lvl w:ilvl="0" w:tplc="85E2B19C">
      <w:start w:val="1"/>
      <w:numFmt w:val="lowerLetter"/>
      <w:lvlText w:val="%1)"/>
      <w:lvlJc w:val="left"/>
      <w:pPr>
        <w:ind w:left="3183" w:hanging="360"/>
      </w:pPr>
      <w:rPr>
        <w:rFonts w:hint="default"/>
      </w:rPr>
    </w:lvl>
    <w:lvl w:ilvl="1" w:tplc="04140019">
      <w:start w:val="1"/>
      <w:numFmt w:val="lowerLetter"/>
      <w:lvlText w:val="%2."/>
      <w:lvlJc w:val="left"/>
      <w:pPr>
        <w:ind w:left="2853" w:hanging="360"/>
      </w:pPr>
    </w:lvl>
    <w:lvl w:ilvl="2" w:tplc="0414001B" w:tentative="1">
      <w:start w:val="1"/>
      <w:numFmt w:val="lowerRoman"/>
      <w:lvlText w:val="%3."/>
      <w:lvlJc w:val="right"/>
      <w:pPr>
        <w:ind w:left="3573" w:hanging="180"/>
      </w:pPr>
    </w:lvl>
    <w:lvl w:ilvl="3" w:tplc="0414000F" w:tentative="1">
      <w:start w:val="1"/>
      <w:numFmt w:val="decimal"/>
      <w:lvlText w:val="%4."/>
      <w:lvlJc w:val="left"/>
      <w:pPr>
        <w:ind w:left="4293" w:hanging="360"/>
      </w:pPr>
    </w:lvl>
    <w:lvl w:ilvl="4" w:tplc="04140019" w:tentative="1">
      <w:start w:val="1"/>
      <w:numFmt w:val="lowerLetter"/>
      <w:lvlText w:val="%5."/>
      <w:lvlJc w:val="left"/>
      <w:pPr>
        <w:ind w:left="5013" w:hanging="360"/>
      </w:pPr>
    </w:lvl>
    <w:lvl w:ilvl="5" w:tplc="0414001B" w:tentative="1">
      <w:start w:val="1"/>
      <w:numFmt w:val="lowerRoman"/>
      <w:lvlText w:val="%6."/>
      <w:lvlJc w:val="right"/>
      <w:pPr>
        <w:ind w:left="5733" w:hanging="180"/>
      </w:pPr>
    </w:lvl>
    <w:lvl w:ilvl="6" w:tplc="0414000F" w:tentative="1">
      <w:start w:val="1"/>
      <w:numFmt w:val="decimal"/>
      <w:lvlText w:val="%7."/>
      <w:lvlJc w:val="left"/>
      <w:pPr>
        <w:ind w:left="6453" w:hanging="360"/>
      </w:pPr>
    </w:lvl>
    <w:lvl w:ilvl="7" w:tplc="04140019" w:tentative="1">
      <w:start w:val="1"/>
      <w:numFmt w:val="lowerLetter"/>
      <w:lvlText w:val="%8."/>
      <w:lvlJc w:val="left"/>
      <w:pPr>
        <w:ind w:left="7173" w:hanging="360"/>
      </w:pPr>
    </w:lvl>
    <w:lvl w:ilvl="8" w:tplc="0414001B" w:tentative="1">
      <w:start w:val="1"/>
      <w:numFmt w:val="lowerRoman"/>
      <w:lvlText w:val="%9."/>
      <w:lvlJc w:val="right"/>
      <w:pPr>
        <w:ind w:left="7893" w:hanging="180"/>
      </w:pPr>
    </w:lvl>
  </w:abstractNum>
  <w:abstractNum w:abstractNumId="22" w15:restartNumberingAfterBreak="0">
    <w:nsid w:val="437B003E"/>
    <w:multiLevelType w:val="hybridMultilevel"/>
    <w:tmpl w:val="4D3082D8"/>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2D2F0A"/>
    <w:multiLevelType w:val="hybridMultilevel"/>
    <w:tmpl w:val="A1CA4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466276"/>
    <w:multiLevelType w:val="hybridMultilevel"/>
    <w:tmpl w:val="CF42B0E0"/>
    <w:lvl w:ilvl="0" w:tplc="1A6031E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46343B"/>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6" w15:restartNumberingAfterBreak="0">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7" w15:restartNumberingAfterBreak="0">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B067758"/>
    <w:multiLevelType w:val="hybridMultilevel"/>
    <w:tmpl w:val="31D89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B776407"/>
    <w:multiLevelType w:val="hybridMultilevel"/>
    <w:tmpl w:val="5C604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4EA54EFC"/>
    <w:multiLevelType w:val="hybridMultilevel"/>
    <w:tmpl w:val="8B2A42A8"/>
    <w:lvl w:ilvl="0" w:tplc="6498A612">
      <w:start w:val="3"/>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1" w15:restartNumberingAfterBreak="0">
    <w:nsid w:val="4F4D06C9"/>
    <w:multiLevelType w:val="hybridMultilevel"/>
    <w:tmpl w:val="A7BEC3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5445F26"/>
    <w:multiLevelType w:val="hybridMultilevel"/>
    <w:tmpl w:val="ECA0779E"/>
    <w:lvl w:ilvl="0" w:tplc="0414000F">
      <w:start w:val="1"/>
      <w:numFmt w:val="decimal"/>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33" w15:restartNumberingAfterBreak="0">
    <w:nsid w:val="55642817"/>
    <w:multiLevelType w:val="hybridMultilevel"/>
    <w:tmpl w:val="CA3E62B4"/>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4" w15:restartNumberingAfterBreak="0">
    <w:nsid w:val="5CD63795"/>
    <w:multiLevelType w:val="hybridMultilevel"/>
    <w:tmpl w:val="C4F0C5C0"/>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F9224B8"/>
    <w:multiLevelType w:val="hybridMultilevel"/>
    <w:tmpl w:val="22848A04"/>
    <w:lvl w:ilvl="0" w:tplc="8DDEF282">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6" w15:restartNumberingAfterBreak="0">
    <w:nsid w:val="601E3621"/>
    <w:multiLevelType w:val="hybridMultilevel"/>
    <w:tmpl w:val="B5922534"/>
    <w:lvl w:ilvl="0" w:tplc="43ACAF8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03900"/>
    <w:multiLevelType w:val="hybridMultilevel"/>
    <w:tmpl w:val="3876614C"/>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8" w15:restartNumberingAfterBreak="0">
    <w:nsid w:val="6A5A407B"/>
    <w:multiLevelType w:val="hybridMultilevel"/>
    <w:tmpl w:val="A6FE0CF2"/>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9" w15:restartNumberingAfterBreak="0">
    <w:nsid w:val="734A1BD7"/>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40" w15:restartNumberingAfterBreak="0">
    <w:nsid w:val="74E66266"/>
    <w:multiLevelType w:val="hybridMultilevel"/>
    <w:tmpl w:val="E3EC7BF6"/>
    <w:lvl w:ilvl="0" w:tplc="2336248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68809D1"/>
    <w:multiLevelType w:val="hybridMultilevel"/>
    <w:tmpl w:val="D1F677B2"/>
    <w:lvl w:ilvl="0" w:tplc="2794C97A">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2" w15:restartNumberingAfterBreak="0">
    <w:nsid w:val="788736E6"/>
    <w:multiLevelType w:val="hybridMultilevel"/>
    <w:tmpl w:val="8BD03186"/>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CB161EC"/>
    <w:multiLevelType w:val="hybridMultilevel"/>
    <w:tmpl w:val="E47E6E22"/>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4" w15:restartNumberingAfterBreak="0">
    <w:nsid w:val="7D377400"/>
    <w:multiLevelType w:val="hybridMultilevel"/>
    <w:tmpl w:val="F6B624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F523046"/>
    <w:multiLevelType w:val="hybridMultilevel"/>
    <w:tmpl w:val="E0ACCC36"/>
    <w:lvl w:ilvl="0" w:tplc="23969C40">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6"/>
  </w:num>
  <w:num w:numId="2">
    <w:abstractNumId w:val="24"/>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8"/>
  </w:num>
  <w:num w:numId="6">
    <w:abstractNumId w:val="9"/>
  </w:num>
  <w:num w:numId="7">
    <w:abstractNumId w:val="10"/>
  </w:num>
  <w:num w:numId="8">
    <w:abstractNumId w:val="3"/>
  </w:num>
  <w:num w:numId="9">
    <w:abstractNumId w:val="1"/>
  </w:num>
  <w:num w:numId="10">
    <w:abstractNumId w:val="44"/>
  </w:num>
  <w:num w:numId="11">
    <w:abstractNumId w:val="41"/>
  </w:num>
  <w:num w:numId="12">
    <w:abstractNumId w:val="32"/>
  </w:num>
  <w:num w:numId="13">
    <w:abstractNumId w:val="5"/>
  </w:num>
  <w:num w:numId="14">
    <w:abstractNumId w:val="12"/>
  </w:num>
  <w:num w:numId="15">
    <w:abstractNumId w:val="2"/>
  </w:num>
  <w:num w:numId="16">
    <w:abstractNumId w:val="7"/>
  </w:num>
  <w:num w:numId="17">
    <w:abstractNumId w:val="11"/>
  </w:num>
  <w:num w:numId="18">
    <w:abstractNumId w:val="26"/>
  </w:num>
  <w:num w:numId="19">
    <w:abstractNumId w:val="37"/>
  </w:num>
  <w:num w:numId="20">
    <w:abstractNumId w:val="42"/>
  </w:num>
  <w:num w:numId="21">
    <w:abstractNumId w:val="21"/>
  </w:num>
  <w:num w:numId="22">
    <w:abstractNumId w:val="0"/>
  </w:num>
  <w:num w:numId="23">
    <w:abstractNumId w:val="39"/>
  </w:num>
  <w:num w:numId="24">
    <w:abstractNumId w:val="15"/>
  </w:num>
  <w:num w:numId="25">
    <w:abstractNumId w:val="14"/>
  </w:num>
  <w:num w:numId="26">
    <w:abstractNumId w:val="30"/>
  </w:num>
  <w:num w:numId="27">
    <w:abstractNumId w:val="27"/>
  </w:num>
  <w:num w:numId="28">
    <w:abstractNumId w:val="16"/>
  </w:num>
  <w:num w:numId="29">
    <w:abstractNumId w:val="25"/>
  </w:num>
  <w:num w:numId="30">
    <w:abstractNumId w:val="13"/>
  </w:num>
  <w:num w:numId="31">
    <w:abstractNumId w:val="22"/>
  </w:num>
  <w:num w:numId="32">
    <w:abstractNumId w:val="35"/>
  </w:num>
  <w:num w:numId="33">
    <w:abstractNumId w:val="34"/>
  </w:num>
  <w:num w:numId="34">
    <w:abstractNumId w:val="17"/>
  </w:num>
  <w:num w:numId="35">
    <w:abstractNumId w:val="33"/>
  </w:num>
  <w:num w:numId="36">
    <w:abstractNumId w:val="20"/>
  </w:num>
  <w:num w:numId="37">
    <w:abstractNumId w:val="6"/>
  </w:num>
  <w:num w:numId="38">
    <w:abstractNumId w:val="19"/>
  </w:num>
  <w:num w:numId="39">
    <w:abstractNumId w:val="38"/>
  </w:num>
  <w:num w:numId="40">
    <w:abstractNumId w:val="40"/>
  </w:num>
  <w:num w:numId="41">
    <w:abstractNumId w:val="28"/>
  </w:num>
  <w:num w:numId="42">
    <w:abstractNumId w:val="18"/>
  </w:num>
  <w:num w:numId="43">
    <w:abstractNumId w:val="31"/>
  </w:num>
  <w:num w:numId="44">
    <w:abstractNumId w:val="29"/>
  </w:num>
  <w:num w:numId="45">
    <w:abstractNumId w:val="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26"/>
    <w:rsid w:val="00002FBF"/>
    <w:rsid w:val="0000467F"/>
    <w:rsid w:val="000102E7"/>
    <w:rsid w:val="00020DCE"/>
    <w:rsid w:val="000257F7"/>
    <w:rsid w:val="00033DC4"/>
    <w:rsid w:val="00035F0C"/>
    <w:rsid w:val="000375F3"/>
    <w:rsid w:val="00050CDB"/>
    <w:rsid w:val="00055BF3"/>
    <w:rsid w:val="0007160F"/>
    <w:rsid w:val="00097B0C"/>
    <w:rsid w:val="000A6AAA"/>
    <w:rsid w:val="000B000B"/>
    <w:rsid w:val="000B6AE3"/>
    <w:rsid w:val="000D4165"/>
    <w:rsid w:val="000E1632"/>
    <w:rsid w:val="000F3726"/>
    <w:rsid w:val="0010149E"/>
    <w:rsid w:val="00102010"/>
    <w:rsid w:val="0010437D"/>
    <w:rsid w:val="00114712"/>
    <w:rsid w:val="00133AFE"/>
    <w:rsid w:val="00143FE3"/>
    <w:rsid w:val="00160BBE"/>
    <w:rsid w:val="001655FF"/>
    <w:rsid w:val="0017765F"/>
    <w:rsid w:val="00195687"/>
    <w:rsid w:val="0019737E"/>
    <w:rsid w:val="001A683B"/>
    <w:rsid w:val="001C2449"/>
    <w:rsid w:val="001C525E"/>
    <w:rsid w:val="001E08EA"/>
    <w:rsid w:val="001E0C6B"/>
    <w:rsid w:val="002011B4"/>
    <w:rsid w:val="00207173"/>
    <w:rsid w:val="00220A5F"/>
    <w:rsid w:val="00225C9F"/>
    <w:rsid w:val="00230F5D"/>
    <w:rsid w:val="002652C9"/>
    <w:rsid w:val="0026657D"/>
    <w:rsid w:val="00271D00"/>
    <w:rsid w:val="00274ABD"/>
    <w:rsid w:val="00276503"/>
    <w:rsid w:val="00280A43"/>
    <w:rsid w:val="00291D16"/>
    <w:rsid w:val="00292A4B"/>
    <w:rsid w:val="00292EAC"/>
    <w:rsid w:val="002A6E20"/>
    <w:rsid w:val="002B41B1"/>
    <w:rsid w:val="002C496A"/>
    <w:rsid w:val="002D2EDE"/>
    <w:rsid w:val="00317DA0"/>
    <w:rsid w:val="00337D64"/>
    <w:rsid w:val="003611C1"/>
    <w:rsid w:val="003635C2"/>
    <w:rsid w:val="00385DBC"/>
    <w:rsid w:val="00391B90"/>
    <w:rsid w:val="00393964"/>
    <w:rsid w:val="003A2E4A"/>
    <w:rsid w:val="003A2EA2"/>
    <w:rsid w:val="003B3174"/>
    <w:rsid w:val="003D1244"/>
    <w:rsid w:val="003D7823"/>
    <w:rsid w:val="003E2A54"/>
    <w:rsid w:val="003F2CC0"/>
    <w:rsid w:val="00416F88"/>
    <w:rsid w:val="00430622"/>
    <w:rsid w:val="00441E01"/>
    <w:rsid w:val="0046417D"/>
    <w:rsid w:val="00481DBC"/>
    <w:rsid w:val="004A565C"/>
    <w:rsid w:val="004B0671"/>
    <w:rsid w:val="004B76FB"/>
    <w:rsid w:val="004C75CF"/>
    <w:rsid w:val="004D5673"/>
    <w:rsid w:val="004D619D"/>
    <w:rsid w:val="004E26BA"/>
    <w:rsid w:val="004F4D13"/>
    <w:rsid w:val="004F6A3E"/>
    <w:rsid w:val="005156A3"/>
    <w:rsid w:val="00542359"/>
    <w:rsid w:val="00543A68"/>
    <w:rsid w:val="00544770"/>
    <w:rsid w:val="005546F3"/>
    <w:rsid w:val="005642CC"/>
    <w:rsid w:val="00576EC5"/>
    <w:rsid w:val="00577750"/>
    <w:rsid w:val="00581DE5"/>
    <w:rsid w:val="0058726F"/>
    <w:rsid w:val="005927CB"/>
    <w:rsid w:val="00594914"/>
    <w:rsid w:val="005A4651"/>
    <w:rsid w:val="005B2F9A"/>
    <w:rsid w:val="005B37BC"/>
    <w:rsid w:val="005C116E"/>
    <w:rsid w:val="005C1923"/>
    <w:rsid w:val="005C3C6A"/>
    <w:rsid w:val="005D369B"/>
    <w:rsid w:val="005D62B1"/>
    <w:rsid w:val="005D706B"/>
    <w:rsid w:val="005E1B0D"/>
    <w:rsid w:val="00650D2F"/>
    <w:rsid w:val="00674088"/>
    <w:rsid w:val="00684AC6"/>
    <w:rsid w:val="00691B98"/>
    <w:rsid w:val="006B7526"/>
    <w:rsid w:val="006C4ED3"/>
    <w:rsid w:val="006F19F2"/>
    <w:rsid w:val="006F7E5D"/>
    <w:rsid w:val="0071618C"/>
    <w:rsid w:val="00722D7D"/>
    <w:rsid w:val="007302B0"/>
    <w:rsid w:val="00735CC7"/>
    <w:rsid w:val="00741B7E"/>
    <w:rsid w:val="00744B81"/>
    <w:rsid w:val="00750294"/>
    <w:rsid w:val="007512EC"/>
    <w:rsid w:val="00756FCD"/>
    <w:rsid w:val="007662CD"/>
    <w:rsid w:val="007712FD"/>
    <w:rsid w:val="007907F2"/>
    <w:rsid w:val="007972A1"/>
    <w:rsid w:val="007A0BF7"/>
    <w:rsid w:val="007A2EDF"/>
    <w:rsid w:val="007A76CA"/>
    <w:rsid w:val="007D4086"/>
    <w:rsid w:val="007E79F6"/>
    <w:rsid w:val="007F384E"/>
    <w:rsid w:val="00801CDF"/>
    <w:rsid w:val="00814088"/>
    <w:rsid w:val="008151F3"/>
    <w:rsid w:val="00822FBC"/>
    <w:rsid w:val="00832AE7"/>
    <w:rsid w:val="00837FE7"/>
    <w:rsid w:val="008400C6"/>
    <w:rsid w:val="00841B52"/>
    <w:rsid w:val="00856C87"/>
    <w:rsid w:val="00862FB0"/>
    <w:rsid w:val="00863288"/>
    <w:rsid w:val="0086452C"/>
    <w:rsid w:val="00866CE3"/>
    <w:rsid w:val="00887445"/>
    <w:rsid w:val="00891EAC"/>
    <w:rsid w:val="008A0B69"/>
    <w:rsid w:val="008A4375"/>
    <w:rsid w:val="008B146B"/>
    <w:rsid w:val="008C4484"/>
    <w:rsid w:val="008D7201"/>
    <w:rsid w:val="0092245D"/>
    <w:rsid w:val="0092260D"/>
    <w:rsid w:val="0093407A"/>
    <w:rsid w:val="00941CDA"/>
    <w:rsid w:val="00943FAF"/>
    <w:rsid w:val="00944EFF"/>
    <w:rsid w:val="00946AA6"/>
    <w:rsid w:val="00954AF9"/>
    <w:rsid w:val="009825A5"/>
    <w:rsid w:val="00985378"/>
    <w:rsid w:val="009A1760"/>
    <w:rsid w:val="009A6E1D"/>
    <w:rsid w:val="009B24E8"/>
    <w:rsid w:val="009B508A"/>
    <w:rsid w:val="009C532A"/>
    <w:rsid w:val="009E1DEB"/>
    <w:rsid w:val="009F15ED"/>
    <w:rsid w:val="00A01C91"/>
    <w:rsid w:val="00A10EB0"/>
    <w:rsid w:val="00A20204"/>
    <w:rsid w:val="00A22734"/>
    <w:rsid w:val="00A26D0B"/>
    <w:rsid w:val="00A30EC7"/>
    <w:rsid w:val="00A53C95"/>
    <w:rsid w:val="00A5573F"/>
    <w:rsid w:val="00A568D4"/>
    <w:rsid w:val="00A622C1"/>
    <w:rsid w:val="00A70ABB"/>
    <w:rsid w:val="00A70DDB"/>
    <w:rsid w:val="00A715D0"/>
    <w:rsid w:val="00A75337"/>
    <w:rsid w:val="00A77573"/>
    <w:rsid w:val="00A87825"/>
    <w:rsid w:val="00A90E9B"/>
    <w:rsid w:val="00AB5D22"/>
    <w:rsid w:val="00AC251C"/>
    <w:rsid w:val="00AC5A53"/>
    <w:rsid w:val="00AE2275"/>
    <w:rsid w:val="00AE4A53"/>
    <w:rsid w:val="00AE75C3"/>
    <w:rsid w:val="00B0099C"/>
    <w:rsid w:val="00B04699"/>
    <w:rsid w:val="00B27880"/>
    <w:rsid w:val="00B5487F"/>
    <w:rsid w:val="00B55187"/>
    <w:rsid w:val="00B607FF"/>
    <w:rsid w:val="00B632D4"/>
    <w:rsid w:val="00B64069"/>
    <w:rsid w:val="00B65E0F"/>
    <w:rsid w:val="00B81800"/>
    <w:rsid w:val="00BB22E1"/>
    <w:rsid w:val="00BB47F5"/>
    <w:rsid w:val="00BD5AD9"/>
    <w:rsid w:val="00BE40E2"/>
    <w:rsid w:val="00BF489C"/>
    <w:rsid w:val="00C0714C"/>
    <w:rsid w:val="00C3641E"/>
    <w:rsid w:val="00C3655C"/>
    <w:rsid w:val="00C44BE9"/>
    <w:rsid w:val="00C452E0"/>
    <w:rsid w:val="00C45379"/>
    <w:rsid w:val="00C530D5"/>
    <w:rsid w:val="00C67B88"/>
    <w:rsid w:val="00C73208"/>
    <w:rsid w:val="00C768FD"/>
    <w:rsid w:val="00C90EB0"/>
    <w:rsid w:val="00C91BC1"/>
    <w:rsid w:val="00C93849"/>
    <w:rsid w:val="00CA5B43"/>
    <w:rsid w:val="00CA6509"/>
    <w:rsid w:val="00CB268E"/>
    <w:rsid w:val="00CF1F24"/>
    <w:rsid w:val="00CF3F0D"/>
    <w:rsid w:val="00D005D1"/>
    <w:rsid w:val="00D01508"/>
    <w:rsid w:val="00D1656C"/>
    <w:rsid w:val="00D2337D"/>
    <w:rsid w:val="00D27CD8"/>
    <w:rsid w:val="00D31C55"/>
    <w:rsid w:val="00D437F7"/>
    <w:rsid w:val="00D44555"/>
    <w:rsid w:val="00D5340E"/>
    <w:rsid w:val="00D54B5A"/>
    <w:rsid w:val="00D65A02"/>
    <w:rsid w:val="00D666F1"/>
    <w:rsid w:val="00D81BEE"/>
    <w:rsid w:val="00D92819"/>
    <w:rsid w:val="00DB2CC0"/>
    <w:rsid w:val="00DB44D8"/>
    <w:rsid w:val="00DC612B"/>
    <w:rsid w:val="00DC648D"/>
    <w:rsid w:val="00DD018E"/>
    <w:rsid w:val="00E135C3"/>
    <w:rsid w:val="00E14ABF"/>
    <w:rsid w:val="00E15CFC"/>
    <w:rsid w:val="00E329DB"/>
    <w:rsid w:val="00E4633F"/>
    <w:rsid w:val="00E61088"/>
    <w:rsid w:val="00E6418D"/>
    <w:rsid w:val="00E67157"/>
    <w:rsid w:val="00EC0669"/>
    <w:rsid w:val="00EC4448"/>
    <w:rsid w:val="00ED5A7C"/>
    <w:rsid w:val="00F02CF6"/>
    <w:rsid w:val="00F05414"/>
    <w:rsid w:val="00F33C5A"/>
    <w:rsid w:val="00F362BB"/>
    <w:rsid w:val="00F40A40"/>
    <w:rsid w:val="00F5217C"/>
    <w:rsid w:val="00F54EAC"/>
    <w:rsid w:val="00F63AF9"/>
    <w:rsid w:val="00F85154"/>
    <w:rsid w:val="00F94851"/>
    <w:rsid w:val="00FA38AE"/>
    <w:rsid w:val="00FA739E"/>
    <w:rsid w:val="00FA75A1"/>
    <w:rsid w:val="00FA77F2"/>
    <w:rsid w:val="00FB262A"/>
    <w:rsid w:val="00FB50EB"/>
    <w:rsid w:val="00FD605E"/>
    <w:rsid w:val="00FF50BD"/>
    <w:rsid w:val="00FF53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A130A9-D5DA-413C-905E-2E3BF64C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next w:val="Normal"/>
    <w:link w:val="Overskrift1Tegn"/>
    <w:qFormat/>
    <w:rsid w:val="00B5726C"/>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 w:type="character" w:customStyle="1" w:styleId="BunntekstTegn">
    <w:name w:val="Bunntekst Tegn"/>
    <w:basedOn w:val="Standardskriftforavsnitt"/>
    <w:link w:val="Bunntekst"/>
    <w:rsid w:val="00033D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udir.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dir.no/om-udir/tilskudd-til-laremidl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D4F7-F529-48FC-A821-306729EA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2269</Words>
  <Characters>12029</Characters>
  <Application>Microsoft Office Word</Application>
  <DocSecurity>4</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dc:creator>
  <cp:lastModifiedBy>Monika Thollefsen</cp:lastModifiedBy>
  <cp:revision>2</cp:revision>
  <cp:lastPrinted>2013-07-09T08:59:00Z</cp:lastPrinted>
  <dcterms:created xsi:type="dcterms:W3CDTF">2016-11-04T09:22:00Z</dcterms:created>
  <dcterms:modified xsi:type="dcterms:W3CDTF">2016-11-04T09:22:00Z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ies>
</file>