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enett"/>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0"/>
        <w:gridCol w:w="1701"/>
        <w:gridCol w:w="1843"/>
        <w:gridCol w:w="284"/>
      </w:tblGrid>
      <w:tr w:rsidR="00922301" w:rsidTr="00922301">
        <w:tc>
          <w:tcPr>
            <w:tcW w:w="6380" w:type="dxa"/>
          </w:tcPr>
          <w:p w:rsidR="00922301" w:rsidRDefault="00922301" w:rsidP="00EF5CA1">
            <w:pPr>
              <w:rPr>
                <w:sz w:val="16"/>
                <w:szCs w:val="16"/>
              </w:rPr>
            </w:pPr>
            <w:r w:rsidRPr="00922301">
              <w:rPr>
                <w:noProof/>
                <w:sz w:val="16"/>
                <w:szCs w:val="16"/>
                <w:lang w:eastAsia="nb-NO"/>
              </w:rPr>
              <w:drawing>
                <wp:inline distT="0" distB="0" distL="0" distR="0" wp14:anchorId="5DA97272" wp14:editId="489867CA">
                  <wp:extent cx="3059430" cy="445135"/>
                  <wp:effectExtent l="19050" t="0" r="7620" b="0"/>
                  <wp:docPr id="2" name="Bilde 1" descr="Udir_Logo_Hori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ir_Logo_Horis_Black"/>
                          <pic:cNvPicPr>
                            <a:picLocks noChangeAspect="1" noChangeArrowheads="1"/>
                          </pic:cNvPicPr>
                        </pic:nvPicPr>
                        <pic:blipFill>
                          <a:blip r:embed="rId12" cstate="print"/>
                          <a:srcRect/>
                          <a:stretch>
                            <a:fillRect/>
                          </a:stretch>
                        </pic:blipFill>
                        <pic:spPr bwMode="auto">
                          <a:xfrm>
                            <a:off x="0" y="0"/>
                            <a:ext cx="3059430" cy="445135"/>
                          </a:xfrm>
                          <a:prstGeom prst="rect">
                            <a:avLst/>
                          </a:prstGeom>
                          <a:noFill/>
                          <a:ln w="9525">
                            <a:noFill/>
                            <a:miter lim="800000"/>
                            <a:headEnd/>
                            <a:tailEnd/>
                          </a:ln>
                        </pic:spPr>
                      </pic:pic>
                    </a:graphicData>
                  </a:graphic>
                </wp:inline>
              </w:drawing>
            </w:r>
          </w:p>
          <w:p w:rsidR="00922301" w:rsidRDefault="00922301" w:rsidP="00EF5CA1">
            <w:pPr>
              <w:rPr>
                <w:sz w:val="16"/>
                <w:szCs w:val="16"/>
              </w:rPr>
            </w:pPr>
          </w:p>
          <w:p w:rsidR="00922301" w:rsidRDefault="00922301" w:rsidP="00EF5CA1">
            <w:pPr>
              <w:rPr>
                <w:sz w:val="16"/>
                <w:szCs w:val="16"/>
              </w:rPr>
            </w:pPr>
          </w:p>
        </w:tc>
        <w:tc>
          <w:tcPr>
            <w:tcW w:w="1701" w:type="dxa"/>
          </w:tcPr>
          <w:p w:rsidR="00922301" w:rsidRDefault="00922301">
            <w:pPr>
              <w:rPr>
                <w:sz w:val="16"/>
                <w:szCs w:val="16"/>
              </w:rPr>
            </w:pPr>
          </w:p>
          <w:p w:rsidR="00922301" w:rsidRDefault="00922301">
            <w:pPr>
              <w:rPr>
                <w:sz w:val="16"/>
                <w:szCs w:val="16"/>
              </w:rPr>
            </w:pPr>
          </w:p>
          <w:p w:rsidR="00922301" w:rsidRPr="00922301" w:rsidRDefault="00922301">
            <w:pPr>
              <w:rPr>
                <w:b/>
                <w:sz w:val="28"/>
                <w:szCs w:val="28"/>
              </w:rPr>
            </w:pPr>
            <w:r w:rsidRPr="00922301">
              <w:rPr>
                <w:b/>
                <w:sz w:val="28"/>
                <w:szCs w:val="28"/>
              </w:rPr>
              <w:t>Notat</w:t>
            </w:r>
          </w:p>
          <w:p w:rsidR="00922301" w:rsidRDefault="00922301">
            <w:pPr>
              <w:rPr>
                <w:sz w:val="16"/>
                <w:szCs w:val="16"/>
              </w:rPr>
            </w:pPr>
          </w:p>
        </w:tc>
        <w:tc>
          <w:tcPr>
            <w:tcW w:w="2127" w:type="dxa"/>
            <w:gridSpan w:val="2"/>
          </w:tcPr>
          <w:p w:rsidR="00922301" w:rsidRDefault="00922301">
            <w:pPr>
              <w:rPr>
                <w:sz w:val="16"/>
                <w:szCs w:val="16"/>
              </w:rPr>
            </w:pPr>
          </w:p>
        </w:tc>
      </w:tr>
      <w:tr w:rsidR="00AE0B70" w:rsidTr="00922301">
        <w:tc>
          <w:tcPr>
            <w:tcW w:w="6380" w:type="dxa"/>
          </w:tcPr>
          <w:p w:rsidR="00EF5CA1" w:rsidRDefault="00D75F03" w:rsidP="00EF5CA1">
            <w:pPr>
              <w:rPr>
                <w:sz w:val="16"/>
                <w:szCs w:val="16"/>
              </w:rPr>
            </w:pPr>
            <w:r>
              <w:rPr>
                <w:sz w:val="16"/>
                <w:szCs w:val="16"/>
              </w:rPr>
              <w:t>Utarbeidet av</w:t>
            </w:r>
            <w:r w:rsidR="00EF5CA1">
              <w:rPr>
                <w:sz w:val="16"/>
                <w:szCs w:val="16"/>
              </w:rPr>
              <w:t xml:space="preserve">: </w:t>
            </w:r>
            <w:r w:rsidR="000122CF">
              <w:rPr>
                <w:sz w:val="16"/>
                <w:szCs w:val="16"/>
              </w:rPr>
              <w:t>Fride Burton</w:t>
            </w:r>
          </w:p>
          <w:p w:rsidR="00AE0B70" w:rsidRPr="00E7021D" w:rsidRDefault="00EF0F21" w:rsidP="000122CF">
            <w:pPr>
              <w:rPr>
                <w:sz w:val="16"/>
                <w:szCs w:val="16"/>
              </w:rPr>
            </w:pPr>
            <w:r>
              <w:rPr>
                <w:sz w:val="16"/>
                <w:szCs w:val="16"/>
              </w:rPr>
              <w:t xml:space="preserve">Telefon: </w:t>
            </w:r>
            <w:bookmarkStart w:id="0" w:name="SAKSBEHTLF"/>
            <w:r w:rsidR="00FE6C4D">
              <w:rPr>
                <w:sz w:val="16"/>
                <w:szCs w:val="16"/>
              </w:rPr>
              <w:t>23 30 1</w:t>
            </w:r>
            <w:r w:rsidR="000122CF">
              <w:rPr>
                <w:sz w:val="16"/>
                <w:szCs w:val="16"/>
              </w:rPr>
              <w:t xml:space="preserve">4 </w:t>
            </w:r>
            <w:bookmarkEnd w:id="0"/>
            <w:r w:rsidR="000122CF">
              <w:rPr>
                <w:sz w:val="16"/>
                <w:szCs w:val="16"/>
              </w:rPr>
              <w:t>55</w:t>
            </w:r>
          </w:p>
        </w:tc>
        <w:tc>
          <w:tcPr>
            <w:tcW w:w="1701" w:type="dxa"/>
          </w:tcPr>
          <w:p w:rsidR="00AE0B70" w:rsidRDefault="00D75F03">
            <w:pPr>
              <w:rPr>
                <w:sz w:val="16"/>
                <w:szCs w:val="16"/>
              </w:rPr>
            </w:pPr>
            <w:r>
              <w:rPr>
                <w:sz w:val="16"/>
                <w:szCs w:val="16"/>
              </w:rPr>
              <w:t>D</w:t>
            </w:r>
            <w:r w:rsidR="00E7021D" w:rsidRPr="00E7021D">
              <w:rPr>
                <w:sz w:val="16"/>
                <w:szCs w:val="16"/>
              </w:rPr>
              <w:t>ato</w:t>
            </w:r>
            <w:r w:rsidR="00E7021D">
              <w:rPr>
                <w:sz w:val="16"/>
                <w:szCs w:val="16"/>
              </w:rPr>
              <w:t>:</w:t>
            </w:r>
          </w:p>
          <w:p w:rsidR="00E7021D" w:rsidRPr="00E7021D" w:rsidRDefault="000122CF" w:rsidP="000122CF">
            <w:pPr>
              <w:rPr>
                <w:sz w:val="16"/>
                <w:szCs w:val="16"/>
              </w:rPr>
            </w:pPr>
            <w:bookmarkStart w:id="1" w:name="BREVDATO"/>
            <w:proofErr w:type="gramStart"/>
            <w:r>
              <w:rPr>
                <w:sz w:val="16"/>
                <w:szCs w:val="16"/>
              </w:rPr>
              <w:t>1</w:t>
            </w:r>
            <w:r w:rsidR="00FE6C4D">
              <w:rPr>
                <w:sz w:val="16"/>
                <w:szCs w:val="16"/>
              </w:rPr>
              <w:t>5.0</w:t>
            </w:r>
            <w:r>
              <w:rPr>
                <w:sz w:val="16"/>
                <w:szCs w:val="16"/>
              </w:rPr>
              <w:t>7</w:t>
            </w:r>
            <w:r w:rsidR="00FE6C4D">
              <w:rPr>
                <w:sz w:val="16"/>
                <w:szCs w:val="16"/>
              </w:rPr>
              <w:t>.2014</w:t>
            </w:r>
            <w:bookmarkEnd w:id="1"/>
            <w:proofErr w:type="gramEnd"/>
          </w:p>
        </w:tc>
        <w:tc>
          <w:tcPr>
            <w:tcW w:w="2127" w:type="dxa"/>
            <w:gridSpan w:val="2"/>
          </w:tcPr>
          <w:p w:rsidR="00AE0B70" w:rsidRDefault="00D75F03">
            <w:pPr>
              <w:rPr>
                <w:sz w:val="16"/>
                <w:szCs w:val="16"/>
              </w:rPr>
            </w:pPr>
            <w:r>
              <w:rPr>
                <w:sz w:val="16"/>
                <w:szCs w:val="16"/>
              </w:rPr>
              <w:t>Saksnummer</w:t>
            </w:r>
            <w:r w:rsidR="00E7021D">
              <w:rPr>
                <w:sz w:val="16"/>
                <w:szCs w:val="16"/>
              </w:rPr>
              <w:t>:</w:t>
            </w:r>
          </w:p>
          <w:p w:rsidR="00E7021D" w:rsidRPr="00E7021D" w:rsidRDefault="000122CF">
            <w:pPr>
              <w:rPr>
                <w:sz w:val="16"/>
                <w:szCs w:val="16"/>
              </w:rPr>
            </w:pPr>
            <w:bookmarkStart w:id="2" w:name="SAKSNR"/>
            <w:r>
              <w:rPr>
                <w:sz w:val="16"/>
                <w:szCs w:val="16"/>
              </w:rPr>
              <w:t>2014</w:t>
            </w:r>
            <w:r w:rsidR="00FE6C4D">
              <w:rPr>
                <w:sz w:val="16"/>
                <w:szCs w:val="16"/>
              </w:rPr>
              <w:t>/</w:t>
            </w:r>
            <w:bookmarkEnd w:id="2"/>
            <w:r>
              <w:rPr>
                <w:sz w:val="16"/>
                <w:szCs w:val="16"/>
              </w:rPr>
              <w:t>3243</w:t>
            </w:r>
          </w:p>
        </w:tc>
      </w:tr>
      <w:tr w:rsidR="00E7021D" w:rsidRPr="00A32AD5" w:rsidTr="00922301">
        <w:tc>
          <w:tcPr>
            <w:tcW w:w="6380" w:type="dxa"/>
          </w:tcPr>
          <w:p w:rsidR="00E7021D" w:rsidRPr="000122CF" w:rsidRDefault="00EF0F21" w:rsidP="000122CF">
            <w:pPr>
              <w:rPr>
                <w:sz w:val="16"/>
                <w:szCs w:val="16"/>
                <w:lang w:val="en-US"/>
              </w:rPr>
            </w:pPr>
            <w:r w:rsidRPr="000122CF">
              <w:rPr>
                <w:sz w:val="16"/>
                <w:szCs w:val="16"/>
                <w:lang w:val="en-US"/>
              </w:rPr>
              <w:t xml:space="preserve">e-post: </w:t>
            </w:r>
            <w:bookmarkStart w:id="3" w:name="SAKSBEHEMAIL"/>
            <w:r w:rsidR="00245274">
              <w:rPr>
                <w:sz w:val="16"/>
                <w:szCs w:val="16"/>
                <w:lang w:val="en-US"/>
              </w:rPr>
              <w:t>fride.burton</w:t>
            </w:r>
            <w:r w:rsidR="00FE6C4D" w:rsidRPr="000122CF">
              <w:rPr>
                <w:sz w:val="16"/>
                <w:szCs w:val="16"/>
                <w:lang w:val="en-US"/>
              </w:rPr>
              <w:t>@utdanningsdirektoratet.no</w:t>
            </w:r>
            <w:bookmarkEnd w:id="3"/>
          </w:p>
        </w:tc>
        <w:tc>
          <w:tcPr>
            <w:tcW w:w="1701" w:type="dxa"/>
          </w:tcPr>
          <w:p w:rsidR="00E7021D" w:rsidRPr="000122CF" w:rsidRDefault="00E7021D">
            <w:pPr>
              <w:rPr>
                <w:sz w:val="16"/>
                <w:szCs w:val="16"/>
                <w:lang w:val="en-US"/>
              </w:rPr>
            </w:pPr>
          </w:p>
        </w:tc>
        <w:tc>
          <w:tcPr>
            <w:tcW w:w="2127" w:type="dxa"/>
            <w:gridSpan w:val="2"/>
          </w:tcPr>
          <w:p w:rsidR="00E7021D" w:rsidRPr="000122CF" w:rsidRDefault="00E7021D">
            <w:pPr>
              <w:rPr>
                <w:sz w:val="16"/>
                <w:szCs w:val="16"/>
                <w:lang w:val="en-US"/>
              </w:rPr>
            </w:pPr>
          </w:p>
        </w:tc>
      </w:tr>
      <w:tr w:rsidR="00922301" w:rsidRPr="00A32AD5" w:rsidTr="00922301">
        <w:tc>
          <w:tcPr>
            <w:tcW w:w="6380" w:type="dxa"/>
          </w:tcPr>
          <w:p w:rsidR="00922301" w:rsidRPr="000122CF" w:rsidRDefault="00922301" w:rsidP="00EF5CA1">
            <w:pPr>
              <w:rPr>
                <w:sz w:val="16"/>
                <w:szCs w:val="16"/>
                <w:lang w:val="en-US"/>
              </w:rPr>
            </w:pPr>
          </w:p>
        </w:tc>
        <w:tc>
          <w:tcPr>
            <w:tcW w:w="1701" w:type="dxa"/>
          </w:tcPr>
          <w:p w:rsidR="00922301" w:rsidRPr="000122CF" w:rsidRDefault="00922301">
            <w:pPr>
              <w:rPr>
                <w:sz w:val="16"/>
                <w:szCs w:val="16"/>
                <w:lang w:val="en-US"/>
              </w:rPr>
            </w:pPr>
          </w:p>
        </w:tc>
        <w:tc>
          <w:tcPr>
            <w:tcW w:w="2127" w:type="dxa"/>
            <w:gridSpan w:val="2"/>
          </w:tcPr>
          <w:p w:rsidR="00922301" w:rsidRPr="000122CF" w:rsidRDefault="00922301">
            <w:pPr>
              <w:rPr>
                <w:sz w:val="16"/>
                <w:szCs w:val="16"/>
                <w:lang w:val="en-US"/>
              </w:rPr>
            </w:pPr>
          </w:p>
        </w:tc>
      </w:tr>
      <w:tr w:rsidR="00E7021D" w:rsidRPr="00A32AD5" w:rsidTr="00922301">
        <w:trPr>
          <w:gridAfter w:val="1"/>
          <w:wAfter w:w="284" w:type="dxa"/>
        </w:trPr>
        <w:tc>
          <w:tcPr>
            <w:tcW w:w="9924" w:type="dxa"/>
            <w:gridSpan w:val="3"/>
          </w:tcPr>
          <w:p w:rsidR="00E7021D" w:rsidRPr="000122CF" w:rsidRDefault="00E7021D" w:rsidP="00EF5CA1">
            <w:pPr>
              <w:jc w:val="right"/>
              <w:rPr>
                <w:b/>
                <w:sz w:val="16"/>
                <w:szCs w:val="16"/>
                <w:lang w:val="en-US"/>
              </w:rPr>
            </w:pPr>
            <w:bookmarkStart w:id="4" w:name="UOFFPARAGRAF"/>
            <w:bookmarkEnd w:id="4"/>
          </w:p>
        </w:tc>
      </w:tr>
    </w:tbl>
    <w:p w:rsidR="00D929CF" w:rsidRPr="000122CF" w:rsidRDefault="00D929CF" w:rsidP="00D929CF">
      <w:pPr>
        <w:pStyle w:val="Bunntekst"/>
        <w:tabs>
          <w:tab w:val="clear" w:pos="9072"/>
          <w:tab w:val="left" w:pos="993"/>
          <w:tab w:val="left" w:pos="5954"/>
        </w:tabs>
        <w:rPr>
          <w:noProof/>
          <w:lang w:val="en-US"/>
        </w:rPr>
      </w:pPr>
    </w:p>
    <w:tbl>
      <w:tblPr>
        <w:tblStyle w:val="Tabellrutenett"/>
        <w:tblW w:w="0" w:type="auto"/>
        <w:tblLook w:val="04A0" w:firstRow="1" w:lastRow="0" w:firstColumn="1" w:lastColumn="0" w:noHBand="0" w:noVBand="1"/>
      </w:tblPr>
      <w:tblGrid>
        <w:gridCol w:w="2442"/>
        <w:gridCol w:w="7128"/>
      </w:tblGrid>
      <w:tr w:rsidR="00D929CF" w:rsidTr="00137FDF">
        <w:tc>
          <w:tcPr>
            <w:tcW w:w="1951" w:type="dxa"/>
          </w:tcPr>
          <w:p w:rsidR="00D929CF" w:rsidRPr="00D929CF" w:rsidRDefault="00D929CF" w:rsidP="00137FDF">
            <w:pPr>
              <w:tabs>
                <w:tab w:val="left" w:pos="5670"/>
                <w:tab w:val="left" w:pos="6237"/>
              </w:tabs>
            </w:pPr>
            <w:r w:rsidRPr="00D929CF">
              <w:t>Delegat</w:t>
            </w:r>
          </w:p>
        </w:tc>
        <w:tc>
          <w:tcPr>
            <w:tcW w:w="8111" w:type="dxa"/>
          </w:tcPr>
          <w:p w:rsidR="00D929CF" w:rsidRPr="004F7C71" w:rsidRDefault="000122CF" w:rsidP="00137FDF">
            <w:pPr>
              <w:tabs>
                <w:tab w:val="left" w:pos="5670"/>
                <w:tab w:val="left" w:pos="6237"/>
              </w:tabs>
            </w:pPr>
            <w:r w:rsidRPr="004F7C71">
              <w:t>Fride Burton</w:t>
            </w:r>
          </w:p>
        </w:tc>
      </w:tr>
      <w:tr w:rsidR="00D929CF" w:rsidRPr="00245274" w:rsidTr="00137FDF">
        <w:tc>
          <w:tcPr>
            <w:tcW w:w="1951" w:type="dxa"/>
          </w:tcPr>
          <w:p w:rsidR="00D929CF" w:rsidRPr="00D929CF" w:rsidRDefault="00D929CF" w:rsidP="00137FDF">
            <w:pPr>
              <w:tabs>
                <w:tab w:val="left" w:pos="5670"/>
                <w:tab w:val="left" w:pos="6237"/>
              </w:tabs>
            </w:pPr>
            <w:r w:rsidRPr="00D929CF">
              <w:t>Organisasjon/prosjekt</w:t>
            </w:r>
          </w:p>
        </w:tc>
        <w:tc>
          <w:tcPr>
            <w:tcW w:w="8111" w:type="dxa"/>
          </w:tcPr>
          <w:p w:rsidR="00D929CF" w:rsidRPr="004F7C71" w:rsidRDefault="000F79CB" w:rsidP="000F79CB">
            <w:pPr>
              <w:tabs>
                <w:tab w:val="left" w:pos="5670"/>
                <w:tab w:val="left" w:pos="6237"/>
              </w:tabs>
              <w:rPr>
                <w:lang w:val="en-US"/>
              </w:rPr>
            </w:pPr>
            <w:r w:rsidRPr="004F7C71">
              <w:rPr>
                <w:lang w:val="en-US"/>
              </w:rPr>
              <w:t>Advisory Committee for Vocational education and Training (ACVT)</w:t>
            </w:r>
            <w:r w:rsidR="009B6E8E" w:rsidRPr="004F7C71">
              <w:rPr>
                <w:rStyle w:val="Fotnotereferanse"/>
                <w:lang w:val="en-US"/>
              </w:rPr>
              <w:footnoteReference w:id="1"/>
            </w:r>
            <w:r w:rsidRPr="004F7C71">
              <w:rPr>
                <w:lang w:val="en-US"/>
              </w:rPr>
              <w:t xml:space="preserve"> –chair- European Commission</w:t>
            </w:r>
          </w:p>
        </w:tc>
      </w:tr>
      <w:tr w:rsidR="00D929CF" w:rsidRPr="000122CF" w:rsidTr="00137FDF">
        <w:tc>
          <w:tcPr>
            <w:tcW w:w="1951" w:type="dxa"/>
          </w:tcPr>
          <w:p w:rsidR="00D929CF" w:rsidRPr="00D929CF" w:rsidRDefault="00D929CF" w:rsidP="00137FDF">
            <w:pPr>
              <w:tabs>
                <w:tab w:val="left" w:pos="5670"/>
                <w:tab w:val="left" w:pos="6237"/>
              </w:tabs>
            </w:pPr>
            <w:r w:rsidRPr="00D929CF">
              <w:t>Møtebeskrivelse</w:t>
            </w:r>
          </w:p>
        </w:tc>
        <w:tc>
          <w:tcPr>
            <w:tcW w:w="8111" w:type="dxa"/>
          </w:tcPr>
          <w:p w:rsidR="00D929CF" w:rsidRPr="004F7C71" w:rsidRDefault="009B6E8E" w:rsidP="009B6E8E">
            <w:pPr>
              <w:tabs>
                <w:tab w:val="left" w:pos="5670"/>
                <w:tab w:val="left" w:pos="6237"/>
              </w:tabs>
            </w:pPr>
            <w:r w:rsidRPr="004F7C71">
              <w:t>Deltok på f</w:t>
            </w:r>
            <w:r w:rsidR="000122CF" w:rsidRPr="004F7C71">
              <w:t>ormøte</w:t>
            </w:r>
            <w:r w:rsidR="00A32AD5">
              <w:rPr>
                <w:rStyle w:val="Fotnotereferanse"/>
              </w:rPr>
              <w:footnoteReference w:id="2"/>
            </w:r>
            <w:r w:rsidR="000122CF" w:rsidRPr="004F7C71">
              <w:t xml:space="preserve"> </w:t>
            </w:r>
            <w:r w:rsidR="000F79CB" w:rsidRPr="004F7C71">
              <w:t>mellom myndighetsrepresentanter fra deltakende land</w:t>
            </w:r>
            <w:r w:rsidR="000122CF" w:rsidRPr="004F7C71">
              <w:t xml:space="preserve"> 2.6.14 og </w:t>
            </w:r>
            <w:r w:rsidR="000F79CB" w:rsidRPr="004F7C71">
              <w:t>ACVT-</w:t>
            </w:r>
            <w:r w:rsidR="000122CF" w:rsidRPr="004F7C71">
              <w:t>møte mellom partene i arbeidslivet på europeisk nivå og myndighetsreprese</w:t>
            </w:r>
            <w:r w:rsidR="000F79CB" w:rsidRPr="004F7C71">
              <w:t>ntanter</w:t>
            </w:r>
            <w:r w:rsidR="000122CF" w:rsidRPr="004F7C71">
              <w:t xml:space="preserve"> </w:t>
            </w:r>
            <w:r w:rsidRPr="004F7C71">
              <w:t>3.6.14</w:t>
            </w:r>
          </w:p>
        </w:tc>
      </w:tr>
      <w:tr w:rsidR="00D929CF" w:rsidTr="00137FDF">
        <w:tc>
          <w:tcPr>
            <w:tcW w:w="1951" w:type="dxa"/>
          </w:tcPr>
          <w:p w:rsidR="00D929CF" w:rsidRPr="00D929CF" w:rsidRDefault="00D929CF" w:rsidP="00137FDF">
            <w:pPr>
              <w:tabs>
                <w:tab w:val="left" w:pos="5670"/>
                <w:tab w:val="left" w:pos="6237"/>
              </w:tabs>
            </w:pPr>
            <w:r w:rsidRPr="00D929CF">
              <w:t>Møtetid</w:t>
            </w:r>
          </w:p>
        </w:tc>
        <w:tc>
          <w:tcPr>
            <w:tcW w:w="8111" w:type="dxa"/>
          </w:tcPr>
          <w:p w:rsidR="00D929CF" w:rsidRPr="004F7C71" w:rsidRDefault="000122CF" w:rsidP="00137FDF">
            <w:pPr>
              <w:tabs>
                <w:tab w:val="left" w:pos="5670"/>
                <w:tab w:val="left" w:pos="6237"/>
              </w:tabs>
            </w:pPr>
            <w:r w:rsidRPr="004F7C71">
              <w:t>2.-3. juni 2014</w:t>
            </w:r>
          </w:p>
        </w:tc>
      </w:tr>
      <w:tr w:rsidR="00D929CF" w:rsidTr="00137FDF">
        <w:tc>
          <w:tcPr>
            <w:tcW w:w="1951" w:type="dxa"/>
          </w:tcPr>
          <w:p w:rsidR="00D929CF" w:rsidRPr="00D929CF" w:rsidRDefault="00D929CF" w:rsidP="00137FDF">
            <w:pPr>
              <w:tabs>
                <w:tab w:val="left" w:pos="5670"/>
                <w:tab w:val="left" w:pos="6237"/>
              </w:tabs>
            </w:pPr>
            <w:r w:rsidRPr="00D929CF">
              <w:t>Møtested</w:t>
            </w:r>
          </w:p>
        </w:tc>
        <w:tc>
          <w:tcPr>
            <w:tcW w:w="8111" w:type="dxa"/>
          </w:tcPr>
          <w:p w:rsidR="00D929CF" w:rsidRPr="004F7C71" w:rsidRDefault="000122CF" w:rsidP="00137FDF">
            <w:pPr>
              <w:tabs>
                <w:tab w:val="left" w:pos="5670"/>
                <w:tab w:val="left" w:pos="6237"/>
              </w:tabs>
            </w:pPr>
            <w:r w:rsidRPr="004F7C71">
              <w:t>Brussel</w:t>
            </w:r>
          </w:p>
        </w:tc>
      </w:tr>
    </w:tbl>
    <w:p w:rsidR="00D929CF" w:rsidRDefault="00D929CF" w:rsidP="00D929CF">
      <w:pPr>
        <w:pStyle w:val="overskrift"/>
        <w:rPr>
          <w:rFonts w:ascii="Verdana" w:hAnsi="Verdana"/>
          <w:caps w:val="0"/>
        </w:rPr>
      </w:pPr>
    </w:p>
    <w:p w:rsidR="00D929CF" w:rsidRDefault="007D1516" w:rsidP="00D929CF">
      <w:pPr>
        <w:pStyle w:val="Bunntekst"/>
        <w:tabs>
          <w:tab w:val="clear" w:pos="4536"/>
          <w:tab w:val="clear" w:pos="9072"/>
          <w:tab w:val="left" w:pos="4537"/>
          <w:tab w:val="left" w:pos="6804"/>
        </w:tabs>
        <w:rPr>
          <w:noProof/>
        </w:rPr>
      </w:pPr>
      <w:r>
        <w:rPr>
          <w:noProof/>
          <w:lang w:eastAsia="nb-NO"/>
        </w:rPr>
        <mc:AlternateContent>
          <mc:Choice Requires="wps">
            <w:drawing>
              <wp:anchor distT="4294967295" distB="4294967295" distL="114300" distR="114300" simplePos="0" relativeHeight="251659264" behindDoc="0" locked="1" layoutInCell="0" allowOverlap="1" wp14:anchorId="2CD2FB0E" wp14:editId="34F6036E">
                <wp:simplePos x="0" y="0"/>
                <wp:positionH relativeFrom="column">
                  <wp:posOffset>-359410</wp:posOffset>
                </wp:positionH>
                <wp:positionV relativeFrom="page">
                  <wp:posOffset>3780789</wp:posOffset>
                </wp:positionV>
                <wp:extent cx="36195" cy="0"/>
                <wp:effectExtent l="0" t="0" r="20955" b="190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28.3pt,297.7pt" to="-25.4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E+eEQIAACY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OkSId&#10;SPQsFEfT0JneuAICKrWzoTZ6Vi/mWdPvDildtUQdeGT4ejGQloWM5E1K2DgD+Pv+s2YQQ45exzad&#10;G9sFSGgAOkc1Lnc1+NkjCofTebacYUQHT0KKIc1Y5z9x3aFglFgC4whLTs/OBxqkGELCLUpvhZRR&#10;aqlQX+LlbDKLCU5LwYIzhDl72FfSohMJwxK/WBN4HsOsPioWwVpO2OZmeyLk1YbLpQp4UAjQuVnX&#10;afixTJebxWaRj/LJfDPK07oefdxW+Wi+zT7M6mldVXX2M1DL8qIVjHEV2A2TmeV/p/ztjVxn6j6b&#10;9zYkb9Fjv4Ds8I+ko5JBvOsY7DW77OygMAxjDL49nDDtj3uwH5/3+hcAAAD//wMAUEsDBBQABgAI&#10;AAAAIQD/YS4d3wAAAAsBAAAPAAAAZHJzL2Rvd25yZXYueG1sTI/BTsMwDIbvSLxDZCQuU5cwaMVK&#10;0wkBvXFhMO3qNaataJyuybbC0xMkJDja/vT7+4vVZHtxpNF3jjVczRUI4tqZjhsNb69VcgvCB2SD&#10;vWPS8EkeVuX5WYG5cSd+oeM6NCKGsM9RQxvCkEvp65Ys+rkbiOPt3Y0WQxzHRpoRTzHc9nKhVCYt&#10;dhw/tDjQQ0v1x/pgNfhqQ/vqa1bP1Pa6cbTYPz4/odaXF9P9HYhAU/iD4Uc/qkMZnXbuwMaLXkOS&#10;ZllENaTL9AZEJJJULUHsfjeyLOT/DuU3AAAA//8DAFBLAQItABQABgAIAAAAIQC2gziS/gAAAOEB&#10;AAATAAAAAAAAAAAAAAAAAAAAAABbQ29udGVudF9UeXBlc10ueG1sUEsBAi0AFAAGAAgAAAAhADj9&#10;If/WAAAAlAEAAAsAAAAAAAAAAAAAAAAALwEAAF9yZWxzLy5yZWxzUEsBAi0AFAAGAAgAAAAhAK1Q&#10;T54RAgAAJgQAAA4AAAAAAAAAAAAAAAAALgIAAGRycy9lMm9Eb2MueG1sUEsBAi0AFAAGAAgAAAAh&#10;AP9hLh3fAAAACwEAAA8AAAAAAAAAAAAAAAAAawQAAGRycy9kb3ducmV2LnhtbFBLBQYAAAAABAAE&#10;APMAAAB3BQAAAAA=&#10;" o:allowincell="f">
                <w10:wrap anchory="page"/>
                <w10:anchorlock/>
              </v:line>
            </w:pict>
          </mc:Fallback>
        </mc:AlternateContent>
      </w:r>
      <w:r>
        <w:rPr>
          <w:noProof/>
          <w:lang w:eastAsia="nb-NO"/>
        </w:rPr>
        <mc:AlternateContent>
          <mc:Choice Requires="wps">
            <w:drawing>
              <wp:anchor distT="4294967295" distB="4294967295" distL="114300" distR="114300" simplePos="0" relativeHeight="251660288" behindDoc="0" locked="1" layoutInCell="0" allowOverlap="1" wp14:anchorId="5CEE6767" wp14:editId="4101CF75">
                <wp:simplePos x="0" y="0"/>
                <wp:positionH relativeFrom="column">
                  <wp:posOffset>6138545</wp:posOffset>
                </wp:positionH>
                <wp:positionV relativeFrom="page">
                  <wp:posOffset>3780789</wp:posOffset>
                </wp:positionV>
                <wp:extent cx="36195" cy="0"/>
                <wp:effectExtent l="0" t="0" r="20955" b="190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483.35pt,297.7pt" to="486.2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JrLEAIAACY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8dKY3roCASu1sqI2e1YvZavrdIaWrlqgDjwxfLwbSspCRvEkJG2cAf99/1gxiyNHr2KZz&#10;Y7sACQ1A56jG5a4GP3tE4fBpli2AFB08CSmGNGOd/8R1h4JRYgmMIyw5bZ0PNEgxhIRblN4IKaPU&#10;UqG+xIvpZBoTnJaCBWcIc/awr6RFJxKGJX6xJvA8hll9VCyCtZyw9c32RMirDZdLFfCgEKBzs67T&#10;8GORLtbz9Twf5ZPZepSndT36uKny0WyTfZjWT3VV1dnPQC3Li1YwxlVgN0xmlv+d8rc3cp2p+2ze&#10;25C8RY/9ArLDP5KOSgbxrmOw1+yys4PCMIwx+PZwwrQ/7sF+fN6rXwAAAP//AwBQSwMEFAAGAAgA&#10;AAAhAHcem43eAAAACwEAAA8AAABkcnMvZG93bnJldi54bWxMj01Pg0AQhu8m/ofNmHhp7CJaKsjS&#10;GJVbL1aN1ymMQGRnKbtt0V/vmJjobT6evPNMvppsrw40+s6xgct5BIq4cnXHjYGX5/LiBpQPyDX2&#10;jsnAJ3lYFacnOWa1O/ITHTahURLCPkMDbQhDprWvWrLo524glt27Gy0GacdG1yMeJdz2Oo6iRFvs&#10;WC60ONB9S9XHZm8N+PKVduXXrJpFb1eNo3j3sH5EY87PprtbUIGm8AfDj76oQyFOW7fn2qveQJok&#10;S0ENLNLFNSgh0mUsxfZ3ootc//+h+AYAAP//AwBQSwECLQAUAAYACAAAACEAtoM4kv4AAADhAQAA&#10;EwAAAAAAAAAAAAAAAAAAAAAAW0NvbnRlbnRfVHlwZXNdLnhtbFBLAQItABQABgAIAAAAIQA4/SH/&#10;1gAAAJQBAAALAAAAAAAAAAAAAAAAAC8BAABfcmVscy8ucmVsc1BLAQItABQABgAIAAAAIQDIqJrL&#10;EAIAACYEAAAOAAAAAAAAAAAAAAAAAC4CAABkcnMvZTJvRG9jLnhtbFBLAQItABQABgAIAAAAIQB3&#10;HpuN3gAAAAsBAAAPAAAAAAAAAAAAAAAAAGoEAABkcnMvZG93bnJldi54bWxQSwUGAAAAAAQABADz&#10;AAAAdQUAAAAA&#10;" o:allowincell="f">
                <w10:wrap anchory="page"/>
                <w10:anchorlock/>
              </v:line>
            </w:pict>
          </mc:Fallback>
        </mc:AlternateContent>
      </w:r>
      <w:r w:rsidR="00D929CF">
        <w:rPr>
          <w:noProof/>
        </w:rPr>
        <w:t>Hensikt med møtet (agenda legges ved):</w:t>
      </w:r>
    </w:p>
    <w:tbl>
      <w:tblPr>
        <w:tblStyle w:val="Tabellrutenett"/>
        <w:tblW w:w="0" w:type="auto"/>
        <w:tblLook w:val="04A0" w:firstRow="1" w:lastRow="0" w:firstColumn="1" w:lastColumn="0" w:noHBand="0" w:noVBand="1"/>
      </w:tblPr>
      <w:tblGrid>
        <w:gridCol w:w="9570"/>
      </w:tblGrid>
      <w:tr w:rsidR="000122CF" w:rsidTr="000122CF">
        <w:tc>
          <w:tcPr>
            <w:tcW w:w="9570" w:type="dxa"/>
          </w:tcPr>
          <w:p w:rsidR="000122CF" w:rsidRPr="000D36AC" w:rsidRDefault="000122CF" w:rsidP="00A32AD5">
            <w:pPr>
              <w:tabs>
                <w:tab w:val="left" w:pos="5670"/>
                <w:tab w:val="left" w:pos="6237"/>
              </w:tabs>
            </w:pPr>
            <w:r w:rsidRPr="000D36AC">
              <w:t xml:space="preserve">Status </w:t>
            </w:r>
            <w:r w:rsidR="000F79CB" w:rsidRPr="000D36AC">
              <w:t>Københavnprosessen (</w:t>
            </w:r>
            <w:r w:rsidRPr="000D36AC">
              <w:t>det europeiske samarbeidet om fag- og yrkesopplæring</w:t>
            </w:r>
            <w:r w:rsidR="000F79CB" w:rsidRPr="000D36AC">
              <w:t>)</w:t>
            </w:r>
            <w:r w:rsidRPr="000D36AC">
              <w:t>, herunder arbeidet med EU-verktøyene. I</w:t>
            </w:r>
            <w:r w:rsidR="000F79CB" w:rsidRPr="000D36AC">
              <w:t>nput til nye kortsiktige rapportleveranser (STDs)</w:t>
            </w:r>
            <w:r w:rsidRPr="000D36AC">
              <w:t xml:space="preserve"> </w:t>
            </w:r>
            <w:proofErr w:type="spellStart"/>
            <w:r w:rsidR="000F79CB" w:rsidRPr="000D36AC">
              <w:t>ifm</w:t>
            </w:r>
            <w:proofErr w:type="spellEnd"/>
            <w:r w:rsidR="000F79CB" w:rsidRPr="000D36AC">
              <w:t xml:space="preserve"> gjennomgangen av </w:t>
            </w:r>
            <w:r w:rsidRPr="000D36AC">
              <w:t>Brugge</w:t>
            </w:r>
            <w:r w:rsidR="000F79CB" w:rsidRPr="000D36AC">
              <w:t>-kommunikeet 2015 (Brugge</w:t>
            </w:r>
            <w:r w:rsidRPr="000D36AC">
              <w:t xml:space="preserve"> </w:t>
            </w:r>
            <w:proofErr w:type="spellStart"/>
            <w:r w:rsidRPr="000D36AC">
              <w:t>review</w:t>
            </w:r>
            <w:proofErr w:type="spellEnd"/>
            <w:r w:rsidRPr="000D36AC">
              <w:t xml:space="preserve"> 2015</w:t>
            </w:r>
            <w:r w:rsidR="007A35C4">
              <w:rPr>
                <w:rStyle w:val="Fotnotereferanse"/>
              </w:rPr>
              <w:footnoteReference w:id="3"/>
            </w:r>
            <w:r w:rsidR="000F79CB" w:rsidRPr="000D36AC">
              <w:t>)</w:t>
            </w:r>
            <w:r w:rsidRPr="000D36AC">
              <w:t>.</w:t>
            </w:r>
            <w:r w:rsidR="000D36AC">
              <w:t xml:space="preserve">  </w:t>
            </w:r>
          </w:p>
        </w:tc>
      </w:tr>
    </w:tbl>
    <w:p w:rsidR="00D929CF" w:rsidRDefault="00D929CF" w:rsidP="00D929CF">
      <w:pPr>
        <w:pStyle w:val="Bunntekst"/>
        <w:tabs>
          <w:tab w:val="clear" w:pos="4536"/>
          <w:tab w:val="clear" w:pos="9072"/>
          <w:tab w:val="left" w:pos="4537"/>
          <w:tab w:val="left" w:pos="6804"/>
        </w:tabs>
        <w:rPr>
          <w:noProof/>
        </w:rPr>
      </w:pPr>
    </w:p>
    <w:p w:rsidR="00D929CF" w:rsidRDefault="00D929CF" w:rsidP="00D929CF">
      <w:pPr>
        <w:pStyle w:val="Bunntekst"/>
        <w:tabs>
          <w:tab w:val="clear" w:pos="4536"/>
          <w:tab w:val="clear" w:pos="9072"/>
          <w:tab w:val="left" w:pos="4537"/>
          <w:tab w:val="left" w:pos="6804"/>
        </w:tabs>
        <w:rPr>
          <w:noProof/>
        </w:rPr>
      </w:pPr>
    </w:p>
    <w:p w:rsidR="00D929CF" w:rsidRDefault="00D929CF" w:rsidP="00D929CF">
      <w:pPr>
        <w:pStyle w:val="Bunntekst"/>
        <w:tabs>
          <w:tab w:val="clear" w:pos="4536"/>
          <w:tab w:val="clear" w:pos="9072"/>
          <w:tab w:val="left" w:pos="4537"/>
          <w:tab w:val="left" w:pos="6804"/>
        </w:tabs>
        <w:rPr>
          <w:noProof/>
        </w:rPr>
      </w:pPr>
      <w:r>
        <w:rPr>
          <w:noProof/>
        </w:rPr>
        <w:t>Hovedkonklusjoner fra møtet</w:t>
      </w:r>
    </w:p>
    <w:tbl>
      <w:tblPr>
        <w:tblStyle w:val="Tabellrutenett"/>
        <w:tblW w:w="0" w:type="auto"/>
        <w:tblLook w:val="04A0" w:firstRow="1" w:lastRow="0" w:firstColumn="1" w:lastColumn="0" w:noHBand="0" w:noVBand="1"/>
      </w:tblPr>
      <w:tblGrid>
        <w:gridCol w:w="9570"/>
      </w:tblGrid>
      <w:tr w:rsidR="00D929CF" w:rsidTr="00137FDF">
        <w:tc>
          <w:tcPr>
            <w:tcW w:w="10062" w:type="dxa"/>
          </w:tcPr>
          <w:p w:rsidR="00273ED9" w:rsidRDefault="003F3B06" w:rsidP="00273ED9">
            <w:pPr>
              <w:pStyle w:val="Bunntekst"/>
              <w:tabs>
                <w:tab w:val="clear" w:pos="4536"/>
                <w:tab w:val="clear" w:pos="9072"/>
                <w:tab w:val="left" w:pos="4537"/>
                <w:tab w:val="left" w:pos="6804"/>
              </w:tabs>
              <w:rPr>
                <w:noProof/>
              </w:rPr>
            </w:pPr>
            <w:r w:rsidRPr="007E5F14">
              <w:rPr>
                <w:noProof/>
              </w:rPr>
              <w:t xml:space="preserve">Jeg noterte meg følgende </w:t>
            </w:r>
            <w:r w:rsidR="007E5F14" w:rsidRPr="007E5F14">
              <w:rPr>
                <w:noProof/>
              </w:rPr>
              <w:t>fra diskusjon om Brugge review</w:t>
            </w:r>
            <w:r w:rsidR="00131225">
              <w:rPr>
                <w:noProof/>
              </w:rPr>
              <w:t xml:space="preserve"> </w:t>
            </w:r>
            <w:r w:rsidR="000D36AC">
              <w:rPr>
                <w:noProof/>
              </w:rPr>
              <w:t xml:space="preserve">og videre arbeid med Københavnprosessen </w:t>
            </w:r>
            <w:r w:rsidR="00131225">
              <w:rPr>
                <w:noProof/>
              </w:rPr>
              <w:t>i formøte</w:t>
            </w:r>
            <w:r w:rsidR="000D36AC">
              <w:rPr>
                <w:noProof/>
              </w:rPr>
              <w:t>t</w:t>
            </w:r>
            <w:r w:rsidR="00131225">
              <w:rPr>
                <w:noProof/>
              </w:rPr>
              <w:t xml:space="preserve"> </w:t>
            </w:r>
            <w:r w:rsidR="007A35C4">
              <w:rPr>
                <w:noProof/>
              </w:rPr>
              <w:t xml:space="preserve">med myndighetsrepresentantene fra deltakerlandene </w:t>
            </w:r>
            <w:r w:rsidR="00131225">
              <w:rPr>
                <w:noProof/>
              </w:rPr>
              <w:t xml:space="preserve">og </w:t>
            </w:r>
            <w:r w:rsidR="000D36AC">
              <w:rPr>
                <w:noProof/>
              </w:rPr>
              <w:t xml:space="preserve">i </w:t>
            </w:r>
            <w:r w:rsidR="00131225">
              <w:rPr>
                <w:noProof/>
              </w:rPr>
              <w:t>ACVT</w:t>
            </w:r>
            <w:r w:rsidR="000D36AC">
              <w:rPr>
                <w:noProof/>
              </w:rPr>
              <w:t>-møtet</w:t>
            </w:r>
            <w:r w:rsidR="007E5F14" w:rsidRPr="007E5F14">
              <w:rPr>
                <w:noProof/>
              </w:rPr>
              <w:t>:</w:t>
            </w:r>
          </w:p>
          <w:p w:rsidR="000D36AC" w:rsidRDefault="000D36AC" w:rsidP="00273ED9">
            <w:pPr>
              <w:pStyle w:val="Bunntekst"/>
              <w:numPr>
                <w:ilvl w:val="0"/>
                <w:numId w:val="1"/>
              </w:numPr>
              <w:tabs>
                <w:tab w:val="clear" w:pos="4536"/>
                <w:tab w:val="clear" w:pos="9072"/>
                <w:tab w:val="left" w:pos="4537"/>
                <w:tab w:val="left" w:pos="6804"/>
              </w:tabs>
              <w:rPr>
                <w:noProof/>
              </w:rPr>
            </w:pPr>
            <w:r w:rsidRPr="000D36AC">
              <w:rPr>
                <w:noProof/>
              </w:rPr>
              <w:t xml:space="preserve">Det ble vist til at det i DGVET-møtet ble lagt fram behov for rasjonalisering av STDs og transparensverkøyene (ECVET; EQF; EQAVET) og at COMs respons var å innføre det nye «verktøyet» EASQ (European Area for Skills and Qualifications) som et svar på ønske om bedre synergi. Medlemsstatene spilte inn at Kom må ta hensyn til innspill fra landene om hvordan verktøyene brukes </w:t>
            </w:r>
            <w:r w:rsidR="00273ED9">
              <w:rPr>
                <w:noProof/>
              </w:rPr>
              <w:t xml:space="preserve">og de pågående evalueringer </w:t>
            </w:r>
            <w:r w:rsidRPr="000D36AC">
              <w:rPr>
                <w:noProof/>
              </w:rPr>
              <w:t>i sitt videre arbeid.</w:t>
            </w:r>
          </w:p>
          <w:p w:rsidR="00273ED9" w:rsidRDefault="000D36AC" w:rsidP="000D36AC">
            <w:pPr>
              <w:pStyle w:val="Listeavsnitt"/>
              <w:numPr>
                <w:ilvl w:val="0"/>
                <w:numId w:val="1"/>
              </w:numPr>
              <w:rPr>
                <w:rFonts w:ascii="Verdana" w:eastAsiaTheme="minorHAnsi" w:hAnsi="Verdana" w:cstheme="minorBidi"/>
                <w:noProof/>
                <w:sz w:val="20"/>
                <w:szCs w:val="20"/>
                <w:lang w:eastAsia="en-US"/>
              </w:rPr>
            </w:pPr>
            <w:r w:rsidRPr="000D36AC">
              <w:rPr>
                <w:rFonts w:ascii="Verdana" w:eastAsiaTheme="minorHAnsi" w:hAnsi="Verdana" w:cstheme="minorBidi"/>
                <w:noProof/>
                <w:sz w:val="20"/>
                <w:szCs w:val="20"/>
                <w:lang w:eastAsia="en-US"/>
              </w:rPr>
              <w:t xml:space="preserve">ACVT </w:t>
            </w:r>
            <w:r w:rsidR="00273ED9">
              <w:rPr>
                <w:rFonts w:ascii="Verdana" w:eastAsiaTheme="minorHAnsi" w:hAnsi="Verdana" w:cstheme="minorBidi"/>
                <w:noProof/>
                <w:sz w:val="20"/>
                <w:szCs w:val="20"/>
                <w:lang w:eastAsia="en-US"/>
              </w:rPr>
              <w:t xml:space="preserve">(særlig partsrepr.) </w:t>
            </w:r>
            <w:r w:rsidRPr="000D36AC">
              <w:rPr>
                <w:rFonts w:ascii="Verdana" w:eastAsiaTheme="minorHAnsi" w:hAnsi="Verdana" w:cstheme="minorBidi"/>
                <w:noProof/>
                <w:sz w:val="20"/>
                <w:szCs w:val="20"/>
                <w:lang w:eastAsia="en-US"/>
              </w:rPr>
              <w:t xml:space="preserve">bad om at oppsummering fra DGVET til education committee legges fram for stakeholders for diskusjon og input. </w:t>
            </w:r>
          </w:p>
          <w:p w:rsidR="000D36AC" w:rsidRPr="000D36AC" w:rsidRDefault="000D36AC" w:rsidP="000D36AC">
            <w:pPr>
              <w:pStyle w:val="Listeavsnitt"/>
              <w:numPr>
                <w:ilvl w:val="0"/>
                <w:numId w:val="1"/>
              </w:numPr>
              <w:rPr>
                <w:rFonts w:ascii="Verdana" w:eastAsiaTheme="minorHAnsi" w:hAnsi="Verdana" w:cstheme="minorBidi"/>
                <w:noProof/>
                <w:sz w:val="20"/>
                <w:szCs w:val="20"/>
                <w:lang w:eastAsia="en-US"/>
              </w:rPr>
            </w:pPr>
            <w:r w:rsidRPr="000D36AC">
              <w:rPr>
                <w:rFonts w:ascii="Verdana" w:eastAsiaTheme="minorHAnsi" w:hAnsi="Verdana" w:cstheme="minorBidi"/>
                <w:noProof/>
                <w:sz w:val="20"/>
                <w:szCs w:val="20"/>
                <w:lang w:eastAsia="en-US"/>
              </w:rPr>
              <w:t>En rekke land viste til at det på tross av konklusjonene fra ACVT/DGVET</w:t>
            </w:r>
            <w:r w:rsidR="001E3CA8">
              <w:rPr>
                <w:rFonts w:ascii="Verdana" w:eastAsiaTheme="minorHAnsi" w:hAnsi="Verdana" w:cstheme="minorBidi"/>
                <w:noProof/>
                <w:sz w:val="20"/>
                <w:szCs w:val="20"/>
                <w:lang w:eastAsia="en-US"/>
              </w:rPr>
              <w:t>-</w:t>
            </w:r>
            <w:r w:rsidRPr="000D36AC">
              <w:rPr>
                <w:rFonts w:ascii="Verdana" w:eastAsiaTheme="minorHAnsi" w:hAnsi="Verdana" w:cstheme="minorBidi"/>
                <w:noProof/>
                <w:sz w:val="20"/>
                <w:szCs w:val="20"/>
                <w:lang w:eastAsia="en-US"/>
              </w:rPr>
              <w:t>konsultasjonen i 2013</w:t>
            </w:r>
            <w:r w:rsidR="001E3CA8">
              <w:rPr>
                <w:rFonts w:ascii="Verdana" w:eastAsiaTheme="minorHAnsi" w:hAnsi="Verdana" w:cstheme="minorBidi"/>
                <w:noProof/>
                <w:sz w:val="20"/>
                <w:szCs w:val="20"/>
                <w:lang w:eastAsia="en-US"/>
              </w:rPr>
              <w:t xml:space="preserve">, er </w:t>
            </w:r>
            <w:r w:rsidRPr="000D36AC">
              <w:rPr>
                <w:rFonts w:ascii="Verdana" w:eastAsiaTheme="minorHAnsi" w:hAnsi="Verdana" w:cstheme="minorBidi"/>
                <w:noProof/>
                <w:sz w:val="20"/>
                <w:szCs w:val="20"/>
                <w:lang w:eastAsia="en-US"/>
              </w:rPr>
              <w:t>det fortsatt er behov for en bedre arbeidsdeling, der ACVT gir innspill på gjeldende politikk og DGVET på langsiktig politikk.</w:t>
            </w:r>
          </w:p>
          <w:p w:rsidR="000D36AC" w:rsidRPr="000D36AC" w:rsidRDefault="000D36AC" w:rsidP="000D36AC">
            <w:pPr>
              <w:pStyle w:val="Listeavsnitt"/>
              <w:numPr>
                <w:ilvl w:val="0"/>
                <w:numId w:val="1"/>
              </w:numPr>
              <w:rPr>
                <w:rFonts w:ascii="Verdana" w:hAnsi="Verdana"/>
                <w:sz w:val="20"/>
                <w:szCs w:val="20"/>
              </w:rPr>
            </w:pPr>
            <w:r w:rsidRPr="000D36AC">
              <w:rPr>
                <w:rFonts w:ascii="Verdana" w:hAnsi="Verdana"/>
                <w:sz w:val="20"/>
                <w:szCs w:val="20"/>
              </w:rPr>
              <w:t xml:space="preserve">Mer fokus 2010-2014 </w:t>
            </w:r>
            <w:r w:rsidR="00A32AD5">
              <w:rPr>
                <w:rFonts w:ascii="Verdana" w:hAnsi="Verdana"/>
                <w:sz w:val="20"/>
                <w:szCs w:val="20"/>
              </w:rPr>
              <w:t>på “</w:t>
            </w:r>
            <w:proofErr w:type="spellStart"/>
            <w:r w:rsidR="00A32AD5">
              <w:rPr>
                <w:rFonts w:ascii="Verdana" w:hAnsi="Verdana"/>
                <w:sz w:val="20"/>
                <w:szCs w:val="20"/>
              </w:rPr>
              <w:t>inclusion</w:t>
            </w:r>
            <w:proofErr w:type="spellEnd"/>
            <w:r w:rsidR="00A32AD5">
              <w:rPr>
                <w:rFonts w:ascii="Verdana" w:hAnsi="Verdana"/>
                <w:sz w:val="20"/>
                <w:szCs w:val="20"/>
              </w:rPr>
              <w:t>” og «</w:t>
            </w:r>
            <w:proofErr w:type="spellStart"/>
            <w:r w:rsidR="00A32AD5">
              <w:rPr>
                <w:rFonts w:ascii="Verdana" w:hAnsi="Verdana"/>
                <w:sz w:val="20"/>
                <w:szCs w:val="20"/>
              </w:rPr>
              <w:t>attractiveness</w:t>
            </w:r>
            <w:proofErr w:type="spellEnd"/>
            <w:r w:rsidR="00A32AD5">
              <w:rPr>
                <w:rFonts w:ascii="Verdana" w:hAnsi="Verdana"/>
                <w:sz w:val="20"/>
                <w:szCs w:val="20"/>
              </w:rPr>
              <w:t>», herunder</w:t>
            </w:r>
            <w:r w:rsidR="00A32AD5" w:rsidRPr="000D36AC">
              <w:rPr>
                <w:rFonts w:ascii="Verdana" w:hAnsi="Verdana"/>
                <w:sz w:val="20"/>
                <w:szCs w:val="20"/>
              </w:rPr>
              <w:t xml:space="preserve"> </w:t>
            </w:r>
            <w:r w:rsidR="00A32AD5">
              <w:rPr>
                <w:rFonts w:ascii="Verdana" w:hAnsi="Verdana"/>
                <w:sz w:val="20"/>
                <w:szCs w:val="20"/>
              </w:rPr>
              <w:t xml:space="preserve">mye </w:t>
            </w:r>
            <w:r w:rsidR="00A32AD5" w:rsidRPr="000D36AC">
              <w:rPr>
                <w:rFonts w:ascii="Verdana" w:hAnsi="Verdana"/>
                <w:sz w:val="20"/>
                <w:szCs w:val="20"/>
              </w:rPr>
              <w:t xml:space="preserve">fokus på IVET (initial </w:t>
            </w:r>
            <w:proofErr w:type="spellStart"/>
            <w:r w:rsidR="00A32AD5" w:rsidRPr="000D36AC">
              <w:rPr>
                <w:rFonts w:ascii="Verdana" w:hAnsi="Verdana"/>
                <w:sz w:val="20"/>
                <w:szCs w:val="20"/>
              </w:rPr>
              <w:t>vocational</w:t>
            </w:r>
            <w:proofErr w:type="spellEnd"/>
            <w:r w:rsidR="00A32AD5" w:rsidRPr="000D36AC">
              <w:rPr>
                <w:rFonts w:ascii="Verdana" w:hAnsi="Verdana"/>
                <w:sz w:val="20"/>
                <w:szCs w:val="20"/>
              </w:rPr>
              <w:t xml:space="preserve"> training) </w:t>
            </w:r>
            <w:r w:rsidR="00A32AD5">
              <w:rPr>
                <w:rFonts w:ascii="Verdana" w:hAnsi="Verdana"/>
                <w:sz w:val="20"/>
                <w:szCs w:val="20"/>
              </w:rPr>
              <w:t xml:space="preserve">særlig </w:t>
            </w:r>
            <w:r w:rsidR="00A32AD5" w:rsidRPr="000D36AC">
              <w:rPr>
                <w:rFonts w:ascii="Verdana" w:hAnsi="Verdana"/>
                <w:sz w:val="20"/>
                <w:szCs w:val="20"/>
              </w:rPr>
              <w:t>WBL, lærling- og</w:t>
            </w:r>
            <w:r w:rsidR="00A32AD5">
              <w:rPr>
                <w:rFonts w:ascii="Verdana" w:hAnsi="Verdana"/>
                <w:sz w:val="20"/>
                <w:szCs w:val="20"/>
              </w:rPr>
              <w:t xml:space="preserve"> </w:t>
            </w:r>
            <w:proofErr w:type="spellStart"/>
            <w:r w:rsidR="00A32AD5">
              <w:rPr>
                <w:rFonts w:ascii="Verdana" w:hAnsi="Verdana"/>
                <w:sz w:val="20"/>
                <w:szCs w:val="20"/>
              </w:rPr>
              <w:t>traineeshipordninger</w:t>
            </w:r>
            <w:proofErr w:type="spellEnd"/>
            <w:r w:rsidR="00A32AD5">
              <w:rPr>
                <w:rFonts w:ascii="Verdana" w:hAnsi="Verdana"/>
                <w:sz w:val="20"/>
                <w:szCs w:val="20"/>
              </w:rPr>
              <w:t xml:space="preserve"> og </w:t>
            </w:r>
            <w:r w:rsidR="00A32AD5" w:rsidRPr="000D36AC">
              <w:rPr>
                <w:rFonts w:ascii="Verdana" w:hAnsi="Verdana"/>
                <w:sz w:val="20"/>
                <w:szCs w:val="20"/>
              </w:rPr>
              <w:t xml:space="preserve">dualmodeller. </w:t>
            </w:r>
            <w:r w:rsidR="00A32AD5">
              <w:rPr>
                <w:rFonts w:ascii="Verdana" w:hAnsi="Verdana"/>
                <w:sz w:val="20"/>
                <w:szCs w:val="20"/>
              </w:rPr>
              <w:t>F</w:t>
            </w:r>
            <w:r w:rsidRPr="000D36AC">
              <w:rPr>
                <w:rFonts w:ascii="Verdana" w:hAnsi="Verdana"/>
                <w:sz w:val="20"/>
                <w:szCs w:val="20"/>
              </w:rPr>
              <w:t>ramskritt gjort i Europa</w:t>
            </w:r>
            <w:r w:rsidR="00A32AD5">
              <w:rPr>
                <w:rFonts w:ascii="Verdana" w:hAnsi="Verdana"/>
                <w:sz w:val="20"/>
                <w:szCs w:val="20"/>
              </w:rPr>
              <w:t xml:space="preserve"> under </w:t>
            </w:r>
            <w:proofErr w:type="spellStart"/>
            <w:r w:rsidR="00A32AD5">
              <w:rPr>
                <w:rFonts w:ascii="Verdana" w:hAnsi="Verdana"/>
                <w:sz w:val="20"/>
                <w:szCs w:val="20"/>
              </w:rPr>
              <w:t>EAfA</w:t>
            </w:r>
            <w:proofErr w:type="spellEnd"/>
            <w:r w:rsidR="00D60858">
              <w:rPr>
                <w:rStyle w:val="Fotnotereferanse"/>
                <w:rFonts w:ascii="Verdana" w:hAnsi="Verdana"/>
                <w:sz w:val="20"/>
                <w:szCs w:val="20"/>
              </w:rPr>
              <w:footnoteReference w:id="4"/>
            </w:r>
            <w:r w:rsidRPr="000D36AC">
              <w:rPr>
                <w:rFonts w:ascii="Verdana" w:hAnsi="Verdana"/>
                <w:sz w:val="20"/>
                <w:szCs w:val="20"/>
              </w:rPr>
              <w:t xml:space="preserve">, særlig </w:t>
            </w:r>
            <w:proofErr w:type="spellStart"/>
            <w:r w:rsidRPr="000D36AC">
              <w:rPr>
                <w:rFonts w:ascii="Verdana" w:hAnsi="Verdana"/>
                <w:sz w:val="20"/>
                <w:szCs w:val="20"/>
              </w:rPr>
              <w:t>mht</w:t>
            </w:r>
            <w:proofErr w:type="spellEnd"/>
            <w:r w:rsidRPr="000D36AC">
              <w:rPr>
                <w:rFonts w:ascii="Verdana" w:hAnsi="Verdana"/>
                <w:sz w:val="20"/>
                <w:szCs w:val="20"/>
              </w:rPr>
              <w:t xml:space="preserve"> WBL (work </w:t>
            </w:r>
            <w:proofErr w:type="spellStart"/>
            <w:r w:rsidRPr="000D36AC">
              <w:rPr>
                <w:rFonts w:ascii="Verdana" w:hAnsi="Verdana"/>
                <w:sz w:val="20"/>
                <w:szCs w:val="20"/>
              </w:rPr>
              <w:t>based</w:t>
            </w:r>
            <w:proofErr w:type="spellEnd"/>
            <w:r w:rsidRPr="000D36AC">
              <w:rPr>
                <w:rFonts w:ascii="Verdana" w:hAnsi="Verdana"/>
                <w:sz w:val="20"/>
                <w:szCs w:val="20"/>
              </w:rPr>
              <w:t xml:space="preserve"> </w:t>
            </w:r>
            <w:proofErr w:type="spellStart"/>
            <w:r w:rsidRPr="000D36AC">
              <w:rPr>
                <w:rFonts w:ascii="Verdana" w:hAnsi="Verdana"/>
                <w:sz w:val="20"/>
                <w:szCs w:val="20"/>
              </w:rPr>
              <w:t>learning</w:t>
            </w:r>
            <w:proofErr w:type="spellEnd"/>
            <w:r w:rsidRPr="000D36AC">
              <w:rPr>
                <w:rFonts w:ascii="Verdana" w:hAnsi="Verdana"/>
                <w:sz w:val="20"/>
                <w:szCs w:val="20"/>
              </w:rPr>
              <w:t>), frafall</w:t>
            </w:r>
            <w:r w:rsidR="00A32AD5">
              <w:rPr>
                <w:rFonts w:ascii="Verdana" w:hAnsi="Verdana"/>
                <w:sz w:val="20"/>
                <w:szCs w:val="20"/>
              </w:rPr>
              <w:t xml:space="preserve"> (ESL), voksnes læring, samarbeid</w:t>
            </w:r>
            <w:r w:rsidR="004F7C71">
              <w:rPr>
                <w:rFonts w:ascii="Verdana" w:hAnsi="Verdana"/>
                <w:sz w:val="20"/>
                <w:szCs w:val="20"/>
              </w:rPr>
              <w:t xml:space="preserve"> </w:t>
            </w:r>
            <w:r w:rsidRPr="000D36AC">
              <w:rPr>
                <w:rFonts w:ascii="Verdana" w:hAnsi="Verdana"/>
                <w:sz w:val="20"/>
                <w:szCs w:val="20"/>
              </w:rPr>
              <w:t>partene i arbeidsl</w:t>
            </w:r>
            <w:r w:rsidR="004F7C71">
              <w:rPr>
                <w:rFonts w:ascii="Verdana" w:hAnsi="Verdana"/>
                <w:sz w:val="20"/>
                <w:szCs w:val="20"/>
              </w:rPr>
              <w:t xml:space="preserve">ivet og </w:t>
            </w:r>
            <w:proofErr w:type="spellStart"/>
            <w:r w:rsidR="004F7C71">
              <w:rPr>
                <w:rFonts w:ascii="Verdana" w:hAnsi="Verdana"/>
                <w:sz w:val="20"/>
                <w:szCs w:val="20"/>
              </w:rPr>
              <w:lastRenderedPageBreak/>
              <w:t>employment</w:t>
            </w:r>
            <w:proofErr w:type="spellEnd"/>
            <w:r w:rsidR="004F7C71">
              <w:rPr>
                <w:rFonts w:ascii="Verdana" w:hAnsi="Verdana"/>
                <w:sz w:val="20"/>
                <w:szCs w:val="20"/>
              </w:rPr>
              <w:t xml:space="preserve"> service</w:t>
            </w:r>
            <w:r w:rsidRPr="000D36AC">
              <w:rPr>
                <w:rFonts w:ascii="Verdana" w:hAnsi="Verdana"/>
                <w:sz w:val="20"/>
                <w:szCs w:val="20"/>
              </w:rPr>
              <w:t xml:space="preserve">. </w:t>
            </w:r>
          </w:p>
          <w:p w:rsidR="000D36AC" w:rsidRPr="000D36AC" w:rsidRDefault="000D36AC" w:rsidP="000D36AC">
            <w:pPr>
              <w:pStyle w:val="Listeavsnitt"/>
              <w:numPr>
                <w:ilvl w:val="0"/>
                <w:numId w:val="1"/>
              </w:numPr>
              <w:rPr>
                <w:rFonts w:ascii="Verdana" w:hAnsi="Verdana"/>
                <w:sz w:val="20"/>
                <w:szCs w:val="20"/>
              </w:rPr>
            </w:pPr>
            <w:r w:rsidRPr="000D36AC">
              <w:rPr>
                <w:rFonts w:ascii="Verdana" w:hAnsi="Verdana"/>
                <w:sz w:val="20"/>
                <w:szCs w:val="20"/>
              </w:rPr>
              <w:t xml:space="preserve">Mer fokus på </w:t>
            </w:r>
            <w:r w:rsidR="005D5F50">
              <w:rPr>
                <w:rFonts w:ascii="Verdana" w:hAnsi="Verdana"/>
                <w:sz w:val="20"/>
                <w:szCs w:val="20"/>
              </w:rPr>
              <w:t xml:space="preserve">yrkesutdanninger og voksne dvs. </w:t>
            </w:r>
            <w:r w:rsidRPr="000D36AC">
              <w:rPr>
                <w:rFonts w:ascii="Verdana" w:hAnsi="Verdana"/>
                <w:sz w:val="20"/>
                <w:szCs w:val="20"/>
              </w:rPr>
              <w:t>CVET (</w:t>
            </w:r>
            <w:proofErr w:type="spellStart"/>
            <w:r w:rsidRPr="000D36AC">
              <w:rPr>
                <w:rFonts w:ascii="Verdana" w:hAnsi="Verdana"/>
                <w:sz w:val="20"/>
                <w:szCs w:val="20"/>
              </w:rPr>
              <w:t>continous</w:t>
            </w:r>
            <w:proofErr w:type="spellEnd"/>
            <w:r w:rsidRPr="000D36AC">
              <w:rPr>
                <w:rFonts w:ascii="Verdana" w:hAnsi="Verdana"/>
                <w:sz w:val="20"/>
                <w:szCs w:val="20"/>
              </w:rPr>
              <w:t xml:space="preserve"> </w:t>
            </w:r>
            <w:proofErr w:type="spellStart"/>
            <w:r w:rsidRPr="000D36AC">
              <w:rPr>
                <w:rFonts w:ascii="Verdana" w:hAnsi="Verdana"/>
                <w:sz w:val="20"/>
                <w:szCs w:val="20"/>
              </w:rPr>
              <w:t>vocational</w:t>
            </w:r>
            <w:proofErr w:type="spellEnd"/>
            <w:r w:rsidRPr="000D36AC">
              <w:rPr>
                <w:rFonts w:ascii="Verdana" w:hAnsi="Verdana"/>
                <w:sz w:val="20"/>
                <w:szCs w:val="20"/>
              </w:rPr>
              <w:t xml:space="preserve"> training</w:t>
            </w:r>
            <w:r w:rsidR="00273ED9">
              <w:rPr>
                <w:rStyle w:val="Fotnotereferanse"/>
                <w:rFonts w:ascii="Verdana" w:hAnsi="Verdana"/>
                <w:sz w:val="20"/>
                <w:szCs w:val="20"/>
              </w:rPr>
              <w:footnoteReference w:id="5"/>
            </w:r>
            <w:r w:rsidR="00273ED9">
              <w:rPr>
                <w:rFonts w:ascii="Verdana" w:hAnsi="Verdana"/>
                <w:sz w:val="20"/>
                <w:szCs w:val="20"/>
              </w:rPr>
              <w:t>)</w:t>
            </w:r>
            <w:r w:rsidRPr="000D36AC">
              <w:rPr>
                <w:rFonts w:ascii="Verdana" w:hAnsi="Verdana"/>
                <w:sz w:val="20"/>
                <w:szCs w:val="20"/>
              </w:rPr>
              <w:t xml:space="preserve"> ble anbefalt av mange, da det er økt fokus på permeabilitet og diskusjon av tilgang for VET på nivå 5 i EQF i en del land nå. </w:t>
            </w:r>
          </w:p>
          <w:p w:rsidR="000D36AC" w:rsidRPr="000D36AC" w:rsidRDefault="000D36AC" w:rsidP="000D36AC">
            <w:pPr>
              <w:pStyle w:val="Listeavsnitt"/>
              <w:numPr>
                <w:ilvl w:val="0"/>
                <w:numId w:val="1"/>
              </w:numPr>
              <w:rPr>
                <w:rFonts w:ascii="Verdana" w:hAnsi="Verdana"/>
                <w:sz w:val="20"/>
                <w:szCs w:val="20"/>
              </w:rPr>
            </w:pPr>
            <w:r w:rsidRPr="000D36AC">
              <w:rPr>
                <w:rFonts w:ascii="Verdana" w:hAnsi="Verdana"/>
                <w:sz w:val="20"/>
                <w:szCs w:val="20"/>
              </w:rPr>
              <w:t xml:space="preserve">Behov for mer fokus på innovasjon og entreprenørskap, særlig med hensyn til kompetansen til lærere og instruktører. </w:t>
            </w:r>
          </w:p>
          <w:p w:rsidR="000D36AC" w:rsidRDefault="000D36AC" w:rsidP="000D36AC">
            <w:pPr>
              <w:pStyle w:val="Listeavsnitt"/>
              <w:numPr>
                <w:ilvl w:val="0"/>
                <w:numId w:val="1"/>
              </w:numPr>
              <w:rPr>
                <w:rFonts w:ascii="Verdana" w:hAnsi="Verdana"/>
                <w:sz w:val="20"/>
                <w:szCs w:val="20"/>
              </w:rPr>
            </w:pPr>
            <w:r w:rsidRPr="000D36AC">
              <w:rPr>
                <w:rFonts w:ascii="Verdana" w:hAnsi="Verdana"/>
                <w:sz w:val="20"/>
                <w:szCs w:val="20"/>
              </w:rPr>
              <w:t xml:space="preserve">Behov for </w:t>
            </w:r>
            <w:proofErr w:type="spellStart"/>
            <w:r w:rsidRPr="000D36AC">
              <w:rPr>
                <w:rFonts w:ascii="Verdana" w:hAnsi="Verdana"/>
                <w:sz w:val="20"/>
                <w:szCs w:val="20"/>
              </w:rPr>
              <w:t>guidance</w:t>
            </w:r>
            <w:proofErr w:type="spellEnd"/>
            <w:r w:rsidRPr="000D36AC">
              <w:rPr>
                <w:rFonts w:ascii="Verdana" w:hAnsi="Verdana"/>
                <w:sz w:val="20"/>
                <w:szCs w:val="20"/>
              </w:rPr>
              <w:t xml:space="preserve">, særlig </w:t>
            </w:r>
            <w:r>
              <w:rPr>
                <w:rFonts w:ascii="Verdana" w:hAnsi="Verdana"/>
                <w:sz w:val="20"/>
                <w:szCs w:val="20"/>
              </w:rPr>
              <w:t>«</w:t>
            </w:r>
            <w:proofErr w:type="spellStart"/>
            <w:r w:rsidRPr="000D36AC">
              <w:rPr>
                <w:rFonts w:ascii="Verdana" w:hAnsi="Verdana"/>
                <w:sz w:val="20"/>
                <w:szCs w:val="20"/>
              </w:rPr>
              <w:t>lifelong</w:t>
            </w:r>
            <w:proofErr w:type="spellEnd"/>
            <w:r w:rsidRPr="000D36AC">
              <w:rPr>
                <w:rFonts w:ascii="Verdana" w:hAnsi="Verdana"/>
                <w:sz w:val="20"/>
                <w:szCs w:val="20"/>
              </w:rPr>
              <w:t xml:space="preserve"> </w:t>
            </w:r>
            <w:proofErr w:type="spellStart"/>
            <w:r w:rsidRPr="000D36AC">
              <w:rPr>
                <w:rFonts w:ascii="Verdana" w:hAnsi="Verdana"/>
                <w:sz w:val="20"/>
                <w:szCs w:val="20"/>
              </w:rPr>
              <w:t>guidance</w:t>
            </w:r>
            <w:proofErr w:type="spellEnd"/>
            <w:r>
              <w:rPr>
                <w:rFonts w:ascii="Verdana" w:hAnsi="Verdana"/>
                <w:sz w:val="20"/>
                <w:szCs w:val="20"/>
              </w:rPr>
              <w:t>»-</w:t>
            </w:r>
            <w:r w:rsidRPr="000D36AC">
              <w:rPr>
                <w:rFonts w:ascii="Verdana" w:hAnsi="Verdana"/>
                <w:sz w:val="20"/>
                <w:szCs w:val="20"/>
              </w:rPr>
              <w:t xml:space="preserve">ordninger ble </w:t>
            </w:r>
            <w:r w:rsidR="00273ED9">
              <w:rPr>
                <w:rFonts w:ascii="Verdana" w:hAnsi="Verdana"/>
                <w:sz w:val="20"/>
                <w:szCs w:val="20"/>
              </w:rPr>
              <w:t>framhevet</w:t>
            </w:r>
            <w:r>
              <w:rPr>
                <w:rFonts w:ascii="Verdana" w:hAnsi="Verdana"/>
                <w:sz w:val="20"/>
                <w:szCs w:val="20"/>
              </w:rPr>
              <w:t xml:space="preserve">. </w:t>
            </w:r>
          </w:p>
          <w:p w:rsidR="00556DA0" w:rsidRPr="00E06AA2" w:rsidRDefault="00556DA0" w:rsidP="00556DA0">
            <w:pPr>
              <w:pStyle w:val="Listeavsnitt"/>
              <w:numPr>
                <w:ilvl w:val="0"/>
                <w:numId w:val="4"/>
              </w:numPr>
              <w:rPr>
                <w:rFonts w:ascii="Verdana" w:hAnsi="Verdana"/>
                <w:sz w:val="20"/>
                <w:szCs w:val="20"/>
              </w:rPr>
            </w:pPr>
            <w:r w:rsidRPr="00E06AA2">
              <w:rPr>
                <w:rFonts w:ascii="Verdana" w:hAnsi="Verdana"/>
                <w:sz w:val="20"/>
                <w:szCs w:val="20"/>
              </w:rPr>
              <w:t>ECVET-</w:t>
            </w:r>
            <w:r w:rsidR="008A4714" w:rsidRPr="00E06AA2">
              <w:rPr>
                <w:rFonts w:ascii="Verdana" w:hAnsi="Verdana"/>
                <w:sz w:val="20"/>
                <w:szCs w:val="20"/>
              </w:rPr>
              <w:t xml:space="preserve">evalueringen </w:t>
            </w:r>
            <w:r w:rsidR="00131225" w:rsidRPr="00E06AA2">
              <w:rPr>
                <w:rFonts w:ascii="Verdana" w:hAnsi="Verdana"/>
                <w:sz w:val="20"/>
                <w:szCs w:val="20"/>
              </w:rPr>
              <w:t xml:space="preserve">ble diskutert. Den </w:t>
            </w:r>
            <w:r w:rsidR="008A4714" w:rsidRPr="00E06AA2">
              <w:rPr>
                <w:rFonts w:ascii="Verdana" w:hAnsi="Verdana"/>
                <w:sz w:val="20"/>
                <w:szCs w:val="20"/>
              </w:rPr>
              <w:t xml:space="preserve">viser </w:t>
            </w:r>
            <w:r w:rsidR="00131225" w:rsidRPr="00E06AA2">
              <w:rPr>
                <w:rFonts w:ascii="Verdana" w:hAnsi="Verdana"/>
                <w:sz w:val="20"/>
                <w:szCs w:val="20"/>
              </w:rPr>
              <w:t xml:space="preserve">at ECVET har liten </w:t>
            </w:r>
            <w:proofErr w:type="spellStart"/>
            <w:r w:rsidR="008A4714" w:rsidRPr="00E06AA2">
              <w:rPr>
                <w:rFonts w:ascii="Verdana" w:hAnsi="Verdana"/>
                <w:sz w:val="20"/>
                <w:szCs w:val="20"/>
              </w:rPr>
              <w:t>impact</w:t>
            </w:r>
            <w:proofErr w:type="spellEnd"/>
            <w:r w:rsidR="008A4714" w:rsidRPr="00E06AA2">
              <w:rPr>
                <w:rFonts w:ascii="Verdana" w:hAnsi="Verdana"/>
                <w:sz w:val="20"/>
                <w:szCs w:val="20"/>
              </w:rPr>
              <w:t xml:space="preserve"> i landene, </w:t>
            </w:r>
            <w:r w:rsidR="00F96E87" w:rsidRPr="00E06AA2">
              <w:rPr>
                <w:rFonts w:ascii="Verdana" w:hAnsi="Verdana"/>
                <w:sz w:val="20"/>
                <w:szCs w:val="20"/>
              </w:rPr>
              <w:t xml:space="preserve">og </w:t>
            </w:r>
            <w:r w:rsidR="00131225" w:rsidRPr="00E06AA2">
              <w:rPr>
                <w:rFonts w:ascii="Verdana" w:hAnsi="Verdana"/>
                <w:sz w:val="20"/>
                <w:szCs w:val="20"/>
              </w:rPr>
              <w:t xml:space="preserve">at det er </w:t>
            </w:r>
            <w:r w:rsidR="008A4714" w:rsidRPr="00E06AA2">
              <w:rPr>
                <w:rFonts w:ascii="Verdana" w:hAnsi="Verdana"/>
                <w:sz w:val="20"/>
                <w:szCs w:val="20"/>
              </w:rPr>
              <w:t>behov for mer koordinert tilnærming og dybdediskusjon</w:t>
            </w:r>
            <w:r w:rsidR="00131225" w:rsidRPr="00E06AA2">
              <w:rPr>
                <w:rFonts w:ascii="Verdana" w:hAnsi="Verdana"/>
                <w:sz w:val="20"/>
                <w:szCs w:val="20"/>
              </w:rPr>
              <w:t xml:space="preserve">. Det ble påpekt at infonoten som ble gitt til møtet ikke gjorde dette mulig. </w:t>
            </w:r>
            <w:r w:rsidR="003476F9" w:rsidRPr="00E06AA2">
              <w:rPr>
                <w:rFonts w:ascii="Verdana" w:hAnsi="Verdana"/>
                <w:sz w:val="20"/>
                <w:szCs w:val="20"/>
              </w:rPr>
              <w:t>ECVET-e</w:t>
            </w:r>
            <w:r w:rsidR="008A4714" w:rsidRPr="00E06AA2">
              <w:rPr>
                <w:rFonts w:ascii="Verdana" w:hAnsi="Verdana"/>
                <w:sz w:val="20"/>
                <w:szCs w:val="20"/>
              </w:rPr>
              <w:t xml:space="preserve">valueringens </w:t>
            </w:r>
            <w:r w:rsidR="00F96E87" w:rsidRPr="00E06AA2">
              <w:rPr>
                <w:rFonts w:ascii="Verdana" w:hAnsi="Verdana"/>
                <w:sz w:val="20"/>
                <w:szCs w:val="20"/>
              </w:rPr>
              <w:t xml:space="preserve">viser til </w:t>
            </w:r>
            <w:r w:rsidRPr="00E06AA2">
              <w:rPr>
                <w:rFonts w:ascii="Verdana" w:hAnsi="Verdana"/>
                <w:sz w:val="20"/>
                <w:szCs w:val="20"/>
              </w:rPr>
              <w:t xml:space="preserve">at </w:t>
            </w:r>
            <w:r w:rsidR="003476F9" w:rsidRPr="00E06AA2">
              <w:rPr>
                <w:rFonts w:ascii="Verdana" w:hAnsi="Verdana"/>
                <w:sz w:val="20"/>
                <w:szCs w:val="20"/>
              </w:rPr>
              <w:t>bruk av</w:t>
            </w:r>
            <w:r w:rsidR="00F96E87" w:rsidRPr="00E06AA2">
              <w:rPr>
                <w:rFonts w:ascii="Verdana" w:hAnsi="Verdana"/>
                <w:sz w:val="20"/>
                <w:szCs w:val="20"/>
              </w:rPr>
              <w:t xml:space="preserve"> ECVET-</w:t>
            </w:r>
            <w:r w:rsidR="003476F9" w:rsidRPr="00E06AA2">
              <w:rPr>
                <w:rFonts w:ascii="Verdana" w:hAnsi="Verdana"/>
                <w:sz w:val="20"/>
                <w:szCs w:val="20"/>
              </w:rPr>
              <w:t>poeng</w:t>
            </w:r>
            <w:r w:rsidR="008A4714" w:rsidRPr="00E06AA2">
              <w:rPr>
                <w:rFonts w:ascii="Verdana" w:hAnsi="Verdana"/>
                <w:sz w:val="20"/>
                <w:szCs w:val="20"/>
              </w:rPr>
              <w:t xml:space="preserve"> </w:t>
            </w:r>
            <w:r w:rsidR="00F96E87" w:rsidRPr="00E06AA2">
              <w:rPr>
                <w:rFonts w:ascii="Verdana" w:hAnsi="Verdana"/>
                <w:sz w:val="20"/>
                <w:szCs w:val="20"/>
              </w:rPr>
              <w:t xml:space="preserve">ikke </w:t>
            </w:r>
            <w:r w:rsidR="008A4714" w:rsidRPr="00E06AA2">
              <w:rPr>
                <w:rFonts w:ascii="Verdana" w:hAnsi="Verdana"/>
                <w:sz w:val="20"/>
                <w:szCs w:val="20"/>
              </w:rPr>
              <w:t>virker</w:t>
            </w:r>
            <w:r w:rsidR="003476F9" w:rsidRPr="00E06AA2">
              <w:rPr>
                <w:rFonts w:ascii="Verdana" w:hAnsi="Verdana"/>
                <w:sz w:val="20"/>
                <w:szCs w:val="20"/>
              </w:rPr>
              <w:t xml:space="preserve"> </w:t>
            </w:r>
            <w:r w:rsidRPr="00E06AA2">
              <w:rPr>
                <w:rFonts w:ascii="Verdana" w:hAnsi="Verdana"/>
                <w:sz w:val="20"/>
                <w:szCs w:val="20"/>
              </w:rPr>
              <w:t xml:space="preserve">og </w:t>
            </w:r>
            <w:r w:rsidR="00F96E87" w:rsidRPr="00E06AA2">
              <w:rPr>
                <w:rFonts w:ascii="Verdana" w:hAnsi="Verdana"/>
                <w:sz w:val="20"/>
                <w:szCs w:val="20"/>
              </w:rPr>
              <w:t xml:space="preserve">at </w:t>
            </w:r>
            <w:r w:rsidRPr="00E06AA2">
              <w:rPr>
                <w:rFonts w:ascii="Verdana" w:hAnsi="Verdana"/>
                <w:sz w:val="20"/>
                <w:szCs w:val="20"/>
              </w:rPr>
              <w:t xml:space="preserve">dette </w:t>
            </w:r>
            <w:r w:rsidR="008A4714" w:rsidRPr="00E06AA2">
              <w:rPr>
                <w:rFonts w:ascii="Verdana" w:hAnsi="Verdana"/>
                <w:sz w:val="20"/>
                <w:szCs w:val="20"/>
              </w:rPr>
              <w:t xml:space="preserve">bør tas hensyn til i videre arbeid. </w:t>
            </w:r>
            <w:r w:rsidR="001E3CA8">
              <w:rPr>
                <w:rFonts w:ascii="Verdana" w:hAnsi="Verdana"/>
                <w:sz w:val="20"/>
                <w:szCs w:val="20"/>
              </w:rPr>
              <w:t xml:space="preserve">Land med lange fagopplæringstradisjoner som </w:t>
            </w:r>
            <w:r w:rsidR="003476F9" w:rsidRPr="00E06AA2">
              <w:rPr>
                <w:rFonts w:ascii="Verdana" w:hAnsi="Verdana"/>
                <w:sz w:val="20"/>
                <w:szCs w:val="20"/>
              </w:rPr>
              <w:t>T</w:t>
            </w:r>
            <w:r w:rsidR="008A4714" w:rsidRPr="00E06AA2">
              <w:rPr>
                <w:rFonts w:ascii="Verdana" w:hAnsi="Verdana"/>
                <w:sz w:val="20"/>
                <w:szCs w:val="20"/>
              </w:rPr>
              <w:t>yskland</w:t>
            </w:r>
            <w:r w:rsidRPr="00E06AA2">
              <w:rPr>
                <w:rFonts w:ascii="Verdana" w:hAnsi="Verdana"/>
                <w:sz w:val="20"/>
                <w:szCs w:val="20"/>
              </w:rPr>
              <w:t>,</w:t>
            </w:r>
            <w:r w:rsidR="008A4714" w:rsidRPr="00E06AA2">
              <w:rPr>
                <w:rFonts w:ascii="Verdana" w:hAnsi="Verdana"/>
                <w:sz w:val="20"/>
                <w:szCs w:val="20"/>
              </w:rPr>
              <w:t xml:space="preserve"> </w:t>
            </w:r>
            <w:r w:rsidR="00273ED9" w:rsidRPr="00E06AA2">
              <w:rPr>
                <w:rFonts w:ascii="Verdana" w:hAnsi="Verdana"/>
                <w:sz w:val="20"/>
                <w:szCs w:val="20"/>
              </w:rPr>
              <w:t>DK, Østerrike</w:t>
            </w:r>
            <w:r w:rsidR="008A4714" w:rsidRPr="00E06AA2">
              <w:rPr>
                <w:rFonts w:ascii="Verdana" w:hAnsi="Verdana"/>
                <w:sz w:val="20"/>
                <w:szCs w:val="20"/>
              </w:rPr>
              <w:t xml:space="preserve"> påpekte at </w:t>
            </w:r>
            <w:r w:rsidRPr="00E06AA2">
              <w:rPr>
                <w:rFonts w:ascii="Verdana" w:hAnsi="Verdana"/>
                <w:sz w:val="20"/>
                <w:szCs w:val="20"/>
              </w:rPr>
              <w:t>det behov for en ny tilnærming</w:t>
            </w:r>
            <w:r w:rsidR="008A4714" w:rsidRPr="00E06AA2">
              <w:rPr>
                <w:rFonts w:ascii="Verdana" w:hAnsi="Verdana"/>
                <w:sz w:val="20"/>
                <w:szCs w:val="20"/>
              </w:rPr>
              <w:t xml:space="preserve"> </w:t>
            </w:r>
            <w:proofErr w:type="spellStart"/>
            <w:r w:rsidR="003D0A82" w:rsidRPr="00E06AA2">
              <w:rPr>
                <w:rFonts w:ascii="Verdana" w:hAnsi="Verdana"/>
                <w:sz w:val="20"/>
                <w:szCs w:val="20"/>
              </w:rPr>
              <w:t>mht</w:t>
            </w:r>
            <w:proofErr w:type="spellEnd"/>
            <w:r w:rsidR="003D0A82" w:rsidRPr="00E06AA2">
              <w:rPr>
                <w:rFonts w:ascii="Verdana" w:hAnsi="Verdana"/>
                <w:sz w:val="20"/>
                <w:szCs w:val="20"/>
              </w:rPr>
              <w:t xml:space="preserve"> ECVET. </w:t>
            </w:r>
            <w:r w:rsidR="008A4714" w:rsidRPr="00E06AA2">
              <w:rPr>
                <w:rFonts w:ascii="Verdana" w:hAnsi="Verdana"/>
                <w:sz w:val="20"/>
                <w:szCs w:val="20"/>
              </w:rPr>
              <w:t xml:space="preserve">Det må tas hensyn til at </w:t>
            </w:r>
            <w:r w:rsidR="001E3CA8">
              <w:rPr>
                <w:rFonts w:ascii="Verdana" w:hAnsi="Verdana"/>
                <w:sz w:val="20"/>
                <w:szCs w:val="20"/>
              </w:rPr>
              <w:t>ECVET</w:t>
            </w:r>
            <w:r w:rsidR="008A4714" w:rsidRPr="00E06AA2">
              <w:rPr>
                <w:rFonts w:ascii="Verdana" w:hAnsi="Verdana"/>
                <w:sz w:val="20"/>
                <w:szCs w:val="20"/>
              </w:rPr>
              <w:t xml:space="preserve"> ikke bare er et verktøy for </w:t>
            </w:r>
            <w:r w:rsidR="00D60858">
              <w:rPr>
                <w:rFonts w:ascii="Verdana" w:hAnsi="Verdana"/>
                <w:sz w:val="20"/>
                <w:szCs w:val="20"/>
              </w:rPr>
              <w:t>elev/</w:t>
            </w:r>
            <w:r w:rsidR="008A4714" w:rsidRPr="00E06AA2">
              <w:rPr>
                <w:rFonts w:ascii="Verdana" w:hAnsi="Verdana"/>
                <w:sz w:val="20"/>
                <w:szCs w:val="20"/>
              </w:rPr>
              <w:t xml:space="preserve">studentmobilitet, men også for bedriftsopplæring, lærlinge- og </w:t>
            </w:r>
            <w:proofErr w:type="spellStart"/>
            <w:r w:rsidR="008A4714" w:rsidRPr="00E06AA2">
              <w:rPr>
                <w:rFonts w:ascii="Verdana" w:hAnsi="Verdana"/>
                <w:sz w:val="20"/>
                <w:szCs w:val="20"/>
              </w:rPr>
              <w:t>traineeordninger</w:t>
            </w:r>
            <w:proofErr w:type="spellEnd"/>
            <w:r w:rsidR="008A4714" w:rsidRPr="00E06AA2">
              <w:rPr>
                <w:rFonts w:ascii="Verdana" w:hAnsi="Verdana"/>
                <w:sz w:val="20"/>
                <w:szCs w:val="20"/>
              </w:rPr>
              <w:t xml:space="preserve">. Det ble vist </w:t>
            </w:r>
            <w:r w:rsidR="003476F9" w:rsidRPr="00E06AA2">
              <w:rPr>
                <w:rFonts w:ascii="Verdana" w:hAnsi="Verdana"/>
                <w:sz w:val="20"/>
                <w:szCs w:val="20"/>
              </w:rPr>
              <w:t xml:space="preserve">til </w:t>
            </w:r>
            <w:r w:rsidR="008A4714" w:rsidRPr="00E06AA2">
              <w:rPr>
                <w:rFonts w:ascii="Verdana" w:hAnsi="Verdana"/>
                <w:sz w:val="20"/>
                <w:szCs w:val="20"/>
              </w:rPr>
              <w:t xml:space="preserve">ECVET </w:t>
            </w:r>
            <w:r w:rsidRPr="00E06AA2">
              <w:rPr>
                <w:rFonts w:ascii="Verdana" w:hAnsi="Verdana"/>
                <w:sz w:val="20"/>
                <w:szCs w:val="20"/>
              </w:rPr>
              <w:t xml:space="preserve">på </w:t>
            </w:r>
            <w:proofErr w:type="spellStart"/>
            <w:r w:rsidR="008A4714" w:rsidRPr="00E06AA2">
              <w:rPr>
                <w:rFonts w:ascii="Verdana" w:hAnsi="Verdana"/>
                <w:sz w:val="20"/>
                <w:szCs w:val="20"/>
              </w:rPr>
              <w:t>user</w:t>
            </w:r>
            <w:proofErr w:type="spellEnd"/>
            <w:r w:rsidR="008A4714" w:rsidRPr="00E06AA2">
              <w:rPr>
                <w:rFonts w:ascii="Verdana" w:hAnsi="Verdana"/>
                <w:sz w:val="20"/>
                <w:szCs w:val="20"/>
              </w:rPr>
              <w:t xml:space="preserve"> group</w:t>
            </w:r>
            <w:r w:rsidR="003476F9" w:rsidRPr="00E06AA2">
              <w:rPr>
                <w:rFonts w:ascii="Verdana" w:hAnsi="Verdana"/>
                <w:sz w:val="20"/>
                <w:szCs w:val="20"/>
              </w:rPr>
              <w:t>-</w:t>
            </w:r>
            <w:r w:rsidR="008A4714" w:rsidRPr="00E06AA2">
              <w:rPr>
                <w:rFonts w:ascii="Verdana" w:hAnsi="Verdana"/>
                <w:sz w:val="20"/>
                <w:szCs w:val="20"/>
              </w:rPr>
              <w:t>møte</w:t>
            </w:r>
            <w:r w:rsidR="003476F9" w:rsidRPr="00E06AA2">
              <w:rPr>
                <w:rFonts w:ascii="Verdana" w:hAnsi="Verdana"/>
                <w:sz w:val="20"/>
                <w:szCs w:val="20"/>
              </w:rPr>
              <w:t>, der det</w:t>
            </w:r>
            <w:r w:rsidR="008A4714" w:rsidRPr="00E06AA2">
              <w:rPr>
                <w:rFonts w:ascii="Verdana" w:hAnsi="Verdana"/>
                <w:sz w:val="20"/>
                <w:szCs w:val="20"/>
              </w:rPr>
              <w:t xml:space="preserve"> kun </w:t>
            </w:r>
            <w:r w:rsidR="003D0A82" w:rsidRPr="00E06AA2">
              <w:rPr>
                <w:rFonts w:ascii="Verdana" w:hAnsi="Verdana"/>
                <w:sz w:val="20"/>
                <w:szCs w:val="20"/>
              </w:rPr>
              <w:t xml:space="preserve">var </w:t>
            </w:r>
            <w:r w:rsidR="008A4714" w:rsidRPr="00E06AA2">
              <w:rPr>
                <w:rFonts w:ascii="Verdana" w:hAnsi="Verdana"/>
                <w:sz w:val="20"/>
                <w:szCs w:val="20"/>
              </w:rPr>
              <w:t xml:space="preserve">enighet om 2 av 13 anbefalinger. </w:t>
            </w:r>
            <w:r w:rsidR="003D0A82" w:rsidRPr="00E06AA2">
              <w:rPr>
                <w:rFonts w:ascii="Verdana" w:hAnsi="Verdana"/>
                <w:sz w:val="20"/>
                <w:szCs w:val="20"/>
              </w:rPr>
              <w:t>De</w:t>
            </w:r>
            <w:r w:rsidR="00131225" w:rsidRPr="00E06AA2">
              <w:rPr>
                <w:rFonts w:ascii="Verdana" w:hAnsi="Verdana"/>
                <w:sz w:val="20"/>
                <w:szCs w:val="20"/>
              </w:rPr>
              <w:t xml:space="preserve"> påpekte at det ikke er </w:t>
            </w:r>
            <w:r w:rsidR="008A4714" w:rsidRPr="00E06AA2">
              <w:rPr>
                <w:rFonts w:ascii="Verdana" w:hAnsi="Verdana"/>
                <w:sz w:val="20"/>
                <w:szCs w:val="20"/>
              </w:rPr>
              <w:t>klar</w:t>
            </w:r>
            <w:r w:rsidR="00131225" w:rsidRPr="00E06AA2">
              <w:rPr>
                <w:rFonts w:ascii="Verdana" w:hAnsi="Verdana"/>
                <w:sz w:val="20"/>
                <w:szCs w:val="20"/>
              </w:rPr>
              <w:t>t</w:t>
            </w:r>
            <w:r w:rsidR="008A4714" w:rsidRPr="00E06AA2">
              <w:rPr>
                <w:rFonts w:ascii="Verdana" w:hAnsi="Verdana"/>
                <w:sz w:val="20"/>
                <w:szCs w:val="20"/>
              </w:rPr>
              <w:t xml:space="preserve"> hvordan </w:t>
            </w:r>
            <w:proofErr w:type="spellStart"/>
            <w:r w:rsidR="008A4714" w:rsidRPr="00E06AA2">
              <w:rPr>
                <w:rFonts w:ascii="Verdana" w:hAnsi="Verdana"/>
                <w:sz w:val="20"/>
                <w:szCs w:val="20"/>
              </w:rPr>
              <w:t>rekommendasjonen</w:t>
            </w:r>
            <w:proofErr w:type="spellEnd"/>
            <w:r w:rsidR="008A4714" w:rsidRPr="00E06AA2">
              <w:rPr>
                <w:rFonts w:ascii="Verdana" w:hAnsi="Verdana"/>
                <w:sz w:val="20"/>
                <w:szCs w:val="20"/>
              </w:rPr>
              <w:t xml:space="preserve"> for ECVET kan være et verktøy for livslang læring</w:t>
            </w:r>
            <w:r w:rsidR="00131225" w:rsidRPr="00E06AA2">
              <w:rPr>
                <w:rFonts w:ascii="Verdana" w:hAnsi="Verdana"/>
                <w:sz w:val="20"/>
                <w:szCs w:val="20"/>
              </w:rPr>
              <w:t xml:space="preserve"> og at dette bør på agendaen</w:t>
            </w:r>
            <w:r w:rsidR="003476F9" w:rsidRPr="00E06AA2">
              <w:rPr>
                <w:rFonts w:ascii="Verdana" w:hAnsi="Verdana"/>
                <w:sz w:val="20"/>
                <w:szCs w:val="20"/>
              </w:rPr>
              <w:t xml:space="preserve">. </w:t>
            </w:r>
            <w:r w:rsidR="003D0A82" w:rsidRPr="00E06AA2">
              <w:rPr>
                <w:rFonts w:ascii="Verdana" w:hAnsi="Verdana"/>
                <w:sz w:val="20"/>
                <w:szCs w:val="20"/>
              </w:rPr>
              <w:t xml:space="preserve">Det var </w:t>
            </w:r>
            <w:r w:rsidR="008A4714" w:rsidRPr="00E06AA2">
              <w:rPr>
                <w:rFonts w:ascii="Verdana" w:hAnsi="Verdana"/>
                <w:sz w:val="20"/>
                <w:szCs w:val="20"/>
              </w:rPr>
              <w:t xml:space="preserve">misnøye </w:t>
            </w:r>
            <w:r w:rsidRPr="00E06AA2">
              <w:rPr>
                <w:rFonts w:ascii="Verdana" w:hAnsi="Verdana"/>
                <w:sz w:val="20"/>
                <w:szCs w:val="20"/>
              </w:rPr>
              <w:t>fra endel land</w:t>
            </w:r>
            <w:r w:rsidR="008A4714" w:rsidRPr="00E06AA2">
              <w:rPr>
                <w:rFonts w:ascii="Verdana" w:hAnsi="Verdana"/>
                <w:sz w:val="20"/>
                <w:szCs w:val="20"/>
              </w:rPr>
              <w:t xml:space="preserve"> at KOM ha</w:t>
            </w:r>
            <w:r w:rsidR="00F96E87" w:rsidRPr="00E06AA2">
              <w:rPr>
                <w:rFonts w:ascii="Verdana" w:hAnsi="Verdana"/>
                <w:sz w:val="20"/>
                <w:szCs w:val="20"/>
              </w:rPr>
              <w:t xml:space="preserve">r laget foreløpige konklusjoner </w:t>
            </w:r>
            <w:r w:rsidR="008A4714" w:rsidRPr="00E06AA2">
              <w:rPr>
                <w:rFonts w:ascii="Verdana" w:hAnsi="Verdana"/>
                <w:sz w:val="20"/>
                <w:szCs w:val="20"/>
              </w:rPr>
              <w:t>før andre fora har hatt mulighet til å diskutere ECVET</w:t>
            </w:r>
            <w:r w:rsidR="00D60858">
              <w:rPr>
                <w:rFonts w:ascii="Verdana" w:hAnsi="Verdana"/>
                <w:sz w:val="20"/>
                <w:szCs w:val="20"/>
              </w:rPr>
              <w:t>-evalueringen</w:t>
            </w:r>
            <w:r w:rsidR="008A4714" w:rsidRPr="00E06AA2">
              <w:rPr>
                <w:rFonts w:ascii="Verdana" w:hAnsi="Verdana"/>
                <w:sz w:val="20"/>
                <w:szCs w:val="20"/>
              </w:rPr>
              <w:t>.</w:t>
            </w:r>
          </w:p>
          <w:p w:rsidR="00E06AA2" w:rsidRDefault="00FF42F4" w:rsidP="00556DA0">
            <w:pPr>
              <w:pStyle w:val="Listeavsnitt"/>
              <w:numPr>
                <w:ilvl w:val="0"/>
                <w:numId w:val="4"/>
              </w:numPr>
              <w:rPr>
                <w:rFonts w:ascii="Verdana" w:hAnsi="Verdana"/>
                <w:sz w:val="20"/>
                <w:szCs w:val="20"/>
              </w:rPr>
            </w:pPr>
            <w:proofErr w:type="spellStart"/>
            <w:r w:rsidRPr="00131225">
              <w:rPr>
                <w:rFonts w:ascii="Verdana" w:hAnsi="Verdana"/>
                <w:sz w:val="20"/>
                <w:szCs w:val="20"/>
              </w:rPr>
              <w:t>ECVETs</w:t>
            </w:r>
            <w:proofErr w:type="spellEnd"/>
            <w:r w:rsidRPr="00131225">
              <w:rPr>
                <w:rFonts w:ascii="Verdana" w:hAnsi="Verdana"/>
                <w:sz w:val="20"/>
                <w:szCs w:val="20"/>
              </w:rPr>
              <w:t xml:space="preserve"> forhold</w:t>
            </w:r>
            <w:r w:rsidR="008A4714" w:rsidRPr="00131225">
              <w:rPr>
                <w:rFonts w:ascii="Verdana" w:hAnsi="Verdana"/>
                <w:sz w:val="20"/>
                <w:szCs w:val="20"/>
              </w:rPr>
              <w:t xml:space="preserve"> til EQF og </w:t>
            </w:r>
            <w:proofErr w:type="spellStart"/>
            <w:r w:rsidR="008A4714" w:rsidRPr="00131225">
              <w:rPr>
                <w:rFonts w:ascii="Verdana" w:hAnsi="Verdana"/>
                <w:sz w:val="20"/>
                <w:szCs w:val="20"/>
              </w:rPr>
              <w:t>Europass</w:t>
            </w:r>
            <w:proofErr w:type="spellEnd"/>
            <w:r w:rsidR="008A4714" w:rsidRPr="00131225">
              <w:rPr>
                <w:rFonts w:ascii="Verdana" w:hAnsi="Verdana"/>
                <w:sz w:val="20"/>
                <w:szCs w:val="20"/>
              </w:rPr>
              <w:t xml:space="preserve"> </w:t>
            </w:r>
            <w:r w:rsidR="00F96E87" w:rsidRPr="00131225">
              <w:rPr>
                <w:rFonts w:ascii="Verdana" w:hAnsi="Verdana"/>
                <w:sz w:val="20"/>
                <w:szCs w:val="20"/>
              </w:rPr>
              <w:t>blir sett på som</w:t>
            </w:r>
            <w:r w:rsidR="008A4714" w:rsidRPr="00131225">
              <w:rPr>
                <w:rFonts w:ascii="Verdana" w:hAnsi="Verdana"/>
                <w:sz w:val="20"/>
                <w:szCs w:val="20"/>
              </w:rPr>
              <w:t xml:space="preserve"> viktig</w:t>
            </w:r>
            <w:r w:rsidR="00F96E87" w:rsidRPr="00131225">
              <w:rPr>
                <w:rFonts w:ascii="Verdana" w:hAnsi="Verdana"/>
                <w:sz w:val="20"/>
                <w:szCs w:val="20"/>
              </w:rPr>
              <w:t xml:space="preserve"> å følge opp</w:t>
            </w:r>
            <w:r w:rsidR="008A4714" w:rsidRPr="00131225">
              <w:rPr>
                <w:rFonts w:ascii="Verdana" w:hAnsi="Verdana"/>
                <w:sz w:val="20"/>
                <w:szCs w:val="20"/>
              </w:rPr>
              <w:t xml:space="preserve">. </w:t>
            </w:r>
            <w:r w:rsidR="008E50A4" w:rsidRPr="00131225">
              <w:rPr>
                <w:rFonts w:ascii="Verdana" w:hAnsi="Verdana"/>
                <w:sz w:val="20"/>
                <w:szCs w:val="20"/>
              </w:rPr>
              <w:t xml:space="preserve">Kobling mellom ECVET og </w:t>
            </w:r>
            <w:proofErr w:type="spellStart"/>
            <w:r w:rsidR="008E50A4" w:rsidRPr="00131225">
              <w:rPr>
                <w:rFonts w:ascii="Verdana" w:hAnsi="Verdana"/>
                <w:sz w:val="20"/>
                <w:szCs w:val="20"/>
              </w:rPr>
              <w:t>Europass</w:t>
            </w:r>
            <w:proofErr w:type="spellEnd"/>
            <w:r w:rsidR="008E50A4" w:rsidRPr="00131225">
              <w:rPr>
                <w:rFonts w:ascii="Verdana" w:hAnsi="Verdana"/>
                <w:sz w:val="20"/>
                <w:szCs w:val="20"/>
              </w:rPr>
              <w:t xml:space="preserve"> </w:t>
            </w:r>
            <w:proofErr w:type="spellStart"/>
            <w:r w:rsidR="008E50A4" w:rsidRPr="00131225">
              <w:rPr>
                <w:rFonts w:ascii="Verdana" w:hAnsi="Verdana"/>
                <w:sz w:val="20"/>
                <w:szCs w:val="20"/>
              </w:rPr>
              <w:t>mobility</w:t>
            </w:r>
            <w:proofErr w:type="spellEnd"/>
            <w:r w:rsidR="008E50A4" w:rsidRPr="00131225">
              <w:rPr>
                <w:rFonts w:ascii="Verdana" w:hAnsi="Verdana"/>
                <w:sz w:val="20"/>
                <w:szCs w:val="20"/>
              </w:rPr>
              <w:t xml:space="preserve"> ble spesielt vektlagt. </w:t>
            </w:r>
            <w:r w:rsidR="008A4714" w:rsidRPr="00131225">
              <w:rPr>
                <w:rFonts w:ascii="Verdana" w:hAnsi="Verdana"/>
                <w:sz w:val="20"/>
                <w:szCs w:val="20"/>
              </w:rPr>
              <w:t xml:space="preserve">Det ble poengtert at </w:t>
            </w:r>
            <w:proofErr w:type="spellStart"/>
            <w:r w:rsidR="008A4714" w:rsidRPr="00131225">
              <w:rPr>
                <w:rFonts w:ascii="Verdana" w:hAnsi="Verdana"/>
                <w:sz w:val="20"/>
                <w:szCs w:val="20"/>
              </w:rPr>
              <w:t>gov’t</w:t>
            </w:r>
            <w:proofErr w:type="spellEnd"/>
            <w:r w:rsidR="008A4714" w:rsidRPr="00131225">
              <w:rPr>
                <w:rFonts w:ascii="Verdana" w:hAnsi="Verdana"/>
                <w:sz w:val="20"/>
                <w:szCs w:val="20"/>
              </w:rPr>
              <w:t xml:space="preserve"> </w:t>
            </w:r>
            <w:proofErr w:type="spellStart"/>
            <w:r w:rsidR="008A4714" w:rsidRPr="00131225">
              <w:rPr>
                <w:rFonts w:ascii="Verdana" w:hAnsi="Verdana"/>
                <w:sz w:val="20"/>
                <w:szCs w:val="20"/>
              </w:rPr>
              <w:t>group</w:t>
            </w:r>
            <w:proofErr w:type="spellEnd"/>
            <w:r w:rsidR="008A4714" w:rsidRPr="00131225">
              <w:rPr>
                <w:rFonts w:ascii="Verdana" w:hAnsi="Verdana"/>
                <w:sz w:val="20"/>
                <w:szCs w:val="20"/>
              </w:rPr>
              <w:t xml:space="preserve"> bør kunne gi tilbakemelding til KOM</w:t>
            </w:r>
            <w:r w:rsidR="003476F9" w:rsidRPr="00131225">
              <w:rPr>
                <w:rFonts w:ascii="Verdana" w:hAnsi="Verdana"/>
                <w:sz w:val="20"/>
                <w:szCs w:val="20"/>
              </w:rPr>
              <w:t xml:space="preserve"> om dette</w:t>
            </w:r>
            <w:r w:rsidR="00556DA0" w:rsidRPr="00131225">
              <w:rPr>
                <w:rFonts w:ascii="Verdana" w:hAnsi="Verdana"/>
                <w:sz w:val="20"/>
                <w:szCs w:val="20"/>
              </w:rPr>
              <w:t>,</w:t>
            </w:r>
            <w:r w:rsidR="008A4714" w:rsidRPr="00131225">
              <w:rPr>
                <w:rFonts w:ascii="Verdana" w:hAnsi="Verdana"/>
                <w:sz w:val="20"/>
                <w:szCs w:val="20"/>
              </w:rPr>
              <w:t xml:space="preserve"> som kan gi input til Europa</w:t>
            </w:r>
            <w:r w:rsidR="00556DA0" w:rsidRPr="00131225">
              <w:rPr>
                <w:rFonts w:ascii="Verdana" w:hAnsi="Verdana"/>
                <w:sz w:val="20"/>
                <w:szCs w:val="20"/>
              </w:rPr>
              <w:t>parlamentet</w:t>
            </w:r>
            <w:r w:rsidR="008A4714" w:rsidRPr="00131225">
              <w:rPr>
                <w:rFonts w:ascii="Verdana" w:hAnsi="Verdana"/>
                <w:sz w:val="20"/>
                <w:szCs w:val="20"/>
              </w:rPr>
              <w:t xml:space="preserve"> og Rådet. </w:t>
            </w:r>
          </w:p>
          <w:p w:rsidR="00556DA0" w:rsidRPr="00131225" w:rsidRDefault="008E50A4" w:rsidP="00556DA0">
            <w:pPr>
              <w:pStyle w:val="Listeavsnitt"/>
              <w:numPr>
                <w:ilvl w:val="0"/>
                <w:numId w:val="4"/>
              </w:numPr>
              <w:rPr>
                <w:rFonts w:ascii="Verdana" w:hAnsi="Verdana"/>
                <w:sz w:val="20"/>
                <w:szCs w:val="20"/>
              </w:rPr>
            </w:pPr>
            <w:r w:rsidRPr="00131225">
              <w:rPr>
                <w:rFonts w:ascii="Verdana" w:hAnsi="Verdana"/>
                <w:sz w:val="20"/>
                <w:szCs w:val="20"/>
              </w:rPr>
              <w:t xml:space="preserve">Utfordringer med å gjøre kommunikasjon om </w:t>
            </w:r>
            <w:r w:rsidR="00E06AA2">
              <w:rPr>
                <w:rFonts w:ascii="Verdana" w:hAnsi="Verdana"/>
                <w:sz w:val="20"/>
                <w:szCs w:val="20"/>
              </w:rPr>
              <w:t xml:space="preserve">EU </w:t>
            </w:r>
            <w:r w:rsidRPr="00131225">
              <w:rPr>
                <w:rFonts w:ascii="Verdana" w:hAnsi="Verdana"/>
                <w:sz w:val="20"/>
                <w:szCs w:val="20"/>
              </w:rPr>
              <w:t>verktøyene tilgjengelig for det allmenne publikum ble diskutert</w:t>
            </w:r>
            <w:r w:rsidR="00E06AA2">
              <w:rPr>
                <w:rFonts w:ascii="Verdana" w:hAnsi="Verdana"/>
                <w:sz w:val="20"/>
                <w:szCs w:val="20"/>
              </w:rPr>
              <w:t xml:space="preserve"> og ev finansiering av </w:t>
            </w:r>
            <w:proofErr w:type="spellStart"/>
            <w:r w:rsidR="00E06AA2">
              <w:rPr>
                <w:rFonts w:ascii="Verdana" w:hAnsi="Verdana"/>
                <w:sz w:val="20"/>
                <w:szCs w:val="20"/>
              </w:rPr>
              <w:t>awareness</w:t>
            </w:r>
            <w:proofErr w:type="spellEnd"/>
            <w:r w:rsidR="004F7C71">
              <w:rPr>
                <w:rFonts w:ascii="Verdana" w:hAnsi="Verdana"/>
                <w:sz w:val="20"/>
                <w:szCs w:val="20"/>
              </w:rPr>
              <w:t xml:space="preserve"> </w:t>
            </w:r>
            <w:proofErr w:type="spellStart"/>
            <w:r w:rsidR="00E06AA2">
              <w:rPr>
                <w:rFonts w:ascii="Verdana" w:hAnsi="Verdana"/>
                <w:sz w:val="20"/>
                <w:szCs w:val="20"/>
              </w:rPr>
              <w:t>raising</w:t>
            </w:r>
            <w:proofErr w:type="spellEnd"/>
            <w:r w:rsidR="00E06AA2">
              <w:rPr>
                <w:rFonts w:ascii="Verdana" w:hAnsi="Verdana"/>
                <w:sz w:val="20"/>
                <w:szCs w:val="20"/>
              </w:rPr>
              <w:t xml:space="preserve"> via Erasmus+ ble nevnt</w:t>
            </w:r>
            <w:r w:rsidRPr="00131225">
              <w:rPr>
                <w:rFonts w:ascii="Verdana" w:hAnsi="Verdana"/>
                <w:sz w:val="20"/>
                <w:szCs w:val="20"/>
              </w:rPr>
              <w:t>.</w:t>
            </w:r>
          </w:p>
          <w:p w:rsidR="00556DA0" w:rsidRPr="00131225" w:rsidRDefault="00556DA0" w:rsidP="00556DA0">
            <w:pPr>
              <w:pStyle w:val="Listeavsnitt"/>
              <w:numPr>
                <w:ilvl w:val="0"/>
                <w:numId w:val="4"/>
              </w:numPr>
              <w:rPr>
                <w:rFonts w:ascii="Verdana" w:hAnsi="Verdana"/>
                <w:sz w:val="20"/>
                <w:szCs w:val="20"/>
              </w:rPr>
            </w:pPr>
            <w:r w:rsidRPr="00131225">
              <w:rPr>
                <w:rFonts w:ascii="Verdana" w:hAnsi="Verdana"/>
                <w:sz w:val="20"/>
                <w:szCs w:val="20"/>
              </w:rPr>
              <w:t>F</w:t>
            </w:r>
            <w:r w:rsidR="008A4714" w:rsidRPr="00131225">
              <w:rPr>
                <w:rFonts w:ascii="Verdana" w:hAnsi="Verdana"/>
                <w:sz w:val="20"/>
                <w:szCs w:val="20"/>
              </w:rPr>
              <w:t>orskjellen på ECVET og ECTS er undervurdert</w:t>
            </w:r>
            <w:r w:rsidR="003D0A82" w:rsidRPr="00131225">
              <w:rPr>
                <w:rFonts w:ascii="Verdana" w:hAnsi="Verdana"/>
                <w:sz w:val="20"/>
                <w:szCs w:val="20"/>
              </w:rPr>
              <w:t xml:space="preserve"> i ulike dokumenter </w:t>
            </w:r>
            <w:r w:rsidR="001E3CA8">
              <w:rPr>
                <w:rFonts w:ascii="Verdana" w:hAnsi="Verdana"/>
                <w:sz w:val="20"/>
                <w:szCs w:val="20"/>
              </w:rPr>
              <w:t xml:space="preserve">sa en </w:t>
            </w:r>
            <w:r w:rsidR="003D0A82" w:rsidRPr="00131225">
              <w:rPr>
                <w:rFonts w:ascii="Verdana" w:hAnsi="Verdana"/>
                <w:sz w:val="20"/>
                <w:szCs w:val="20"/>
              </w:rPr>
              <w:t>poengterte Tyskland, DK og Østerrike</w:t>
            </w:r>
            <w:r w:rsidR="008A4714" w:rsidRPr="00131225">
              <w:rPr>
                <w:rFonts w:ascii="Verdana" w:hAnsi="Verdana"/>
                <w:sz w:val="20"/>
                <w:szCs w:val="20"/>
              </w:rPr>
              <w:t>. ECTS er et bilateralt verktøy</w:t>
            </w:r>
            <w:r w:rsidRPr="00131225">
              <w:rPr>
                <w:rFonts w:ascii="Verdana" w:hAnsi="Verdana"/>
                <w:sz w:val="20"/>
                <w:szCs w:val="20"/>
              </w:rPr>
              <w:t>,</w:t>
            </w:r>
            <w:r w:rsidR="008A4714" w:rsidRPr="00131225">
              <w:rPr>
                <w:rFonts w:ascii="Verdana" w:hAnsi="Verdana"/>
                <w:sz w:val="20"/>
                <w:szCs w:val="20"/>
              </w:rPr>
              <w:t xml:space="preserve"> mens ECVET er tenkt å virke europeisk og internasjonalt. Logikk og filosofi bak en bilateral tilnærming og en internasjonal mobilitet er ikke den samme</w:t>
            </w:r>
            <w:r w:rsidR="001E3CA8">
              <w:rPr>
                <w:rStyle w:val="Fotnotereferanse"/>
                <w:rFonts w:ascii="Verdana" w:hAnsi="Verdana"/>
                <w:sz w:val="20"/>
                <w:szCs w:val="20"/>
              </w:rPr>
              <w:footnoteReference w:id="6"/>
            </w:r>
            <w:r w:rsidR="008A4714" w:rsidRPr="00131225">
              <w:rPr>
                <w:rFonts w:ascii="Verdana" w:hAnsi="Verdana"/>
                <w:sz w:val="20"/>
                <w:szCs w:val="20"/>
              </w:rPr>
              <w:t xml:space="preserve">. </w:t>
            </w:r>
          </w:p>
          <w:p w:rsidR="00131225" w:rsidRDefault="008A4714" w:rsidP="00556DA0">
            <w:pPr>
              <w:pStyle w:val="Listeavsnitt"/>
              <w:numPr>
                <w:ilvl w:val="0"/>
                <w:numId w:val="4"/>
              </w:numPr>
              <w:rPr>
                <w:rFonts w:ascii="Verdana" w:hAnsi="Verdana"/>
                <w:sz w:val="20"/>
                <w:szCs w:val="20"/>
              </w:rPr>
            </w:pPr>
            <w:r w:rsidRPr="00131225">
              <w:rPr>
                <w:rFonts w:ascii="Verdana" w:hAnsi="Verdana"/>
                <w:sz w:val="20"/>
                <w:szCs w:val="20"/>
              </w:rPr>
              <w:t xml:space="preserve">Belgia </w:t>
            </w:r>
            <w:r w:rsidR="000D36AC">
              <w:rPr>
                <w:rFonts w:ascii="Verdana" w:hAnsi="Verdana"/>
                <w:sz w:val="20"/>
                <w:szCs w:val="20"/>
              </w:rPr>
              <w:t xml:space="preserve">i formøtet </w:t>
            </w:r>
            <w:r w:rsidRPr="00131225">
              <w:rPr>
                <w:rFonts w:ascii="Verdana" w:hAnsi="Verdana"/>
                <w:sz w:val="20"/>
                <w:szCs w:val="20"/>
              </w:rPr>
              <w:t>viste til invitasjon via EQAVET-sekretariatet om å nominere medlemmer til</w:t>
            </w:r>
            <w:r w:rsidR="003D0A82" w:rsidRPr="00131225">
              <w:rPr>
                <w:rFonts w:ascii="Verdana" w:hAnsi="Verdana"/>
                <w:sz w:val="20"/>
                <w:szCs w:val="20"/>
              </w:rPr>
              <w:t xml:space="preserve"> 2 nye undergrupper og at i</w:t>
            </w:r>
            <w:r w:rsidRPr="00131225">
              <w:rPr>
                <w:rFonts w:ascii="Verdana" w:hAnsi="Verdana"/>
                <w:sz w:val="20"/>
                <w:szCs w:val="20"/>
              </w:rPr>
              <w:t xml:space="preserve">ntegrering ECVET og EQAVET ikke </w:t>
            </w:r>
            <w:r w:rsidR="003D0A82" w:rsidRPr="00131225">
              <w:rPr>
                <w:rFonts w:ascii="Verdana" w:hAnsi="Verdana"/>
                <w:sz w:val="20"/>
                <w:szCs w:val="20"/>
              </w:rPr>
              <w:t xml:space="preserve">er </w:t>
            </w:r>
            <w:r w:rsidRPr="00131225">
              <w:rPr>
                <w:rFonts w:ascii="Verdana" w:hAnsi="Verdana"/>
                <w:sz w:val="20"/>
                <w:szCs w:val="20"/>
              </w:rPr>
              <w:t>akseptert</w:t>
            </w:r>
            <w:r w:rsidR="00FF42F4" w:rsidRPr="00131225">
              <w:rPr>
                <w:rFonts w:ascii="Verdana" w:hAnsi="Verdana"/>
                <w:sz w:val="20"/>
                <w:szCs w:val="20"/>
              </w:rPr>
              <w:t xml:space="preserve"> av landene</w:t>
            </w:r>
            <w:r w:rsidRPr="00131225">
              <w:rPr>
                <w:rFonts w:ascii="Verdana" w:hAnsi="Verdana"/>
                <w:sz w:val="20"/>
                <w:szCs w:val="20"/>
              </w:rPr>
              <w:t xml:space="preserve">, </w:t>
            </w:r>
            <w:r w:rsidR="00FF42F4" w:rsidRPr="00131225">
              <w:rPr>
                <w:rFonts w:ascii="Verdana" w:hAnsi="Verdana"/>
                <w:sz w:val="20"/>
                <w:szCs w:val="20"/>
              </w:rPr>
              <w:t xml:space="preserve">og at slike </w:t>
            </w:r>
            <w:proofErr w:type="gramStart"/>
            <w:r w:rsidR="00FF42F4" w:rsidRPr="00131225">
              <w:rPr>
                <w:rFonts w:ascii="Verdana" w:hAnsi="Verdana"/>
                <w:sz w:val="20"/>
                <w:szCs w:val="20"/>
              </w:rPr>
              <w:t>type</w:t>
            </w:r>
            <w:proofErr w:type="gramEnd"/>
            <w:r w:rsidR="00FF42F4" w:rsidRPr="00131225">
              <w:rPr>
                <w:rFonts w:ascii="Verdana" w:hAnsi="Verdana"/>
                <w:sz w:val="20"/>
                <w:szCs w:val="20"/>
              </w:rPr>
              <w:t xml:space="preserve"> </w:t>
            </w:r>
            <w:r w:rsidRPr="00131225">
              <w:rPr>
                <w:rFonts w:ascii="Verdana" w:hAnsi="Verdana"/>
                <w:sz w:val="20"/>
                <w:szCs w:val="20"/>
              </w:rPr>
              <w:t>beslutn</w:t>
            </w:r>
            <w:r w:rsidR="00FF42F4" w:rsidRPr="00131225">
              <w:rPr>
                <w:rFonts w:ascii="Verdana" w:hAnsi="Verdana"/>
                <w:sz w:val="20"/>
                <w:szCs w:val="20"/>
              </w:rPr>
              <w:t xml:space="preserve">inger bør fremmes for ACVT, mens </w:t>
            </w:r>
            <w:r w:rsidRPr="00131225">
              <w:rPr>
                <w:rFonts w:ascii="Verdana" w:hAnsi="Verdana"/>
                <w:sz w:val="20"/>
                <w:szCs w:val="20"/>
              </w:rPr>
              <w:t xml:space="preserve">diskusjonene </w:t>
            </w:r>
            <w:r w:rsidR="00FF42F4" w:rsidRPr="00131225">
              <w:rPr>
                <w:rFonts w:ascii="Verdana" w:hAnsi="Verdana"/>
                <w:sz w:val="20"/>
                <w:szCs w:val="20"/>
              </w:rPr>
              <w:t xml:space="preserve">har vært i Kom i </w:t>
            </w:r>
            <w:r w:rsidRPr="00131225">
              <w:rPr>
                <w:rFonts w:ascii="Verdana" w:hAnsi="Verdana"/>
                <w:sz w:val="20"/>
                <w:szCs w:val="20"/>
              </w:rPr>
              <w:t xml:space="preserve">forkant av møtet. Det samme </w:t>
            </w:r>
            <w:r w:rsidR="004F7C71">
              <w:rPr>
                <w:rFonts w:ascii="Verdana" w:hAnsi="Verdana"/>
                <w:sz w:val="20"/>
                <w:szCs w:val="20"/>
              </w:rPr>
              <w:t xml:space="preserve">ble påpekt </w:t>
            </w:r>
            <w:r w:rsidRPr="00131225">
              <w:rPr>
                <w:rFonts w:ascii="Verdana" w:hAnsi="Verdana"/>
                <w:sz w:val="20"/>
                <w:szCs w:val="20"/>
              </w:rPr>
              <w:t>skjedde med ny arbeidsgruppe for transfer of skills.</w:t>
            </w:r>
            <w:r w:rsidR="000D36AC">
              <w:rPr>
                <w:rFonts w:ascii="Verdana" w:hAnsi="Verdana"/>
                <w:sz w:val="20"/>
                <w:szCs w:val="20"/>
              </w:rPr>
              <w:t xml:space="preserve"> </w:t>
            </w:r>
            <w:r w:rsidR="00131225" w:rsidRPr="00131225">
              <w:rPr>
                <w:rFonts w:ascii="Verdana" w:hAnsi="Verdana"/>
                <w:sz w:val="20"/>
                <w:szCs w:val="20"/>
              </w:rPr>
              <w:t xml:space="preserve"> </w:t>
            </w:r>
          </w:p>
          <w:p w:rsidR="009B6E8E" w:rsidRPr="00131225" w:rsidRDefault="008A4714" w:rsidP="00556DA0">
            <w:pPr>
              <w:pStyle w:val="Listeavsnitt"/>
              <w:numPr>
                <w:ilvl w:val="0"/>
                <w:numId w:val="4"/>
              </w:numPr>
              <w:rPr>
                <w:rFonts w:ascii="Verdana" w:hAnsi="Verdana"/>
                <w:sz w:val="20"/>
                <w:szCs w:val="20"/>
              </w:rPr>
            </w:pPr>
            <w:r w:rsidRPr="00131225">
              <w:rPr>
                <w:rFonts w:ascii="Verdana" w:hAnsi="Verdana"/>
                <w:sz w:val="20"/>
                <w:szCs w:val="20"/>
              </w:rPr>
              <w:t>Det ble stilt spø</w:t>
            </w:r>
            <w:r w:rsidR="00556DA0" w:rsidRPr="00131225">
              <w:rPr>
                <w:rFonts w:ascii="Verdana" w:hAnsi="Verdana"/>
                <w:sz w:val="20"/>
                <w:szCs w:val="20"/>
              </w:rPr>
              <w:t>r</w:t>
            </w:r>
            <w:r w:rsidRPr="00131225">
              <w:rPr>
                <w:rFonts w:ascii="Verdana" w:hAnsi="Verdana"/>
                <w:sz w:val="20"/>
                <w:szCs w:val="20"/>
              </w:rPr>
              <w:t xml:space="preserve">smål til frist for </w:t>
            </w:r>
            <w:proofErr w:type="spellStart"/>
            <w:r w:rsidRPr="00131225">
              <w:rPr>
                <w:rFonts w:ascii="Verdana" w:hAnsi="Verdana"/>
                <w:sz w:val="20"/>
                <w:szCs w:val="20"/>
              </w:rPr>
              <w:t>Early</w:t>
            </w:r>
            <w:proofErr w:type="spellEnd"/>
            <w:r w:rsidRPr="00131225">
              <w:rPr>
                <w:rFonts w:ascii="Verdana" w:hAnsi="Verdana"/>
                <w:sz w:val="20"/>
                <w:szCs w:val="20"/>
              </w:rPr>
              <w:t xml:space="preserve"> </w:t>
            </w:r>
            <w:proofErr w:type="spellStart"/>
            <w:r w:rsidRPr="00131225">
              <w:rPr>
                <w:rFonts w:ascii="Verdana" w:hAnsi="Verdana"/>
                <w:sz w:val="20"/>
                <w:szCs w:val="20"/>
              </w:rPr>
              <w:t>school</w:t>
            </w:r>
            <w:proofErr w:type="spellEnd"/>
            <w:r w:rsidRPr="00131225">
              <w:rPr>
                <w:rFonts w:ascii="Verdana" w:hAnsi="Verdana"/>
                <w:sz w:val="20"/>
                <w:szCs w:val="20"/>
              </w:rPr>
              <w:t xml:space="preserve"> </w:t>
            </w:r>
            <w:proofErr w:type="spellStart"/>
            <w:r w:rsidRPr="00131225">
              <w:rPr>
                <w:rFonts w:ascii="Verdana" w:hAnsi="Verdana"/>
                <w:sz w:val="20"/>
                <w:szCs w:val="20"/>
              </w:rPr>
              <w:t>leaving</w:t>
            </w:r>
            <w:proofErr w:type="spellEnd"/>
            <w:r w:rsidRPr="00131225">
              <w:rPr>
                <w:rFonts w:ascii="Verdana" w:hAnsi="Verdana"/>
                <w:sz w:val="20"/>
                <w:szCs w:val="20"/>
              </w:rPr>
              <w:t xml:space="preserve"> in VET</w:t>
            </w:r>
            <w:r w:rsidR="00FF42F4" w:rsidRPr="00131225">
              <w:rPr>
                <w:rFonts w:ascii="Verdana" w:hAnsi="Verdana"/>
                <w:sz w:val="20"/>
                <w:szCs w:val="20"/>
              </w:rPr>
              <w:t>-</w:t>
            </w:r>
            <w:r w:rsidRPr="00131225">
              <w:rPr>
                <w:rFonts w:ascii="Verdana" w:hAnsi="Verdana"/>
                <w:sz w:val="20"/>
                <w:szCs w:val="20"/>
              </w:rPr>
              <w:t>studie</w:t>
            </w:r>
            <w:r w:rsidR="00556DA0" w:rsidRPr="00131225">
              <w:rPr>
                <w:rFonts w:ascii="Verdana" w:hAnsi="Verdana"/>
                <w:sz w:val="20"/>
                <w:szCs w:val="20"/>
              </w:rPr>
              <w:t>t</w:t>
            </w:r>
            <w:r w:rsidRPr="00131225">
              <w:rPr>
                <w:rFonts w:ascii="Verdana" w:hAnsi="Verdana"/>
                <w:sz w:val="20"/>
                <w:szCs w:val="20"/>
              </w:rPr>
              <w:t xml:space="preserve">, samtidig som det kommer en fellesrapport fra </w:t>
            </w:r>
            <w:proofErr w:type="spellStart"/>
            <w:r w:rsidRPr="00131225">
              <w:rPr>
                <w:rFonts w:ascii="Verdana" w:hAnsi="Verdana"/>
                <w:sz w:val="20"/>
                <w:szCs w:val="20"/>
              </w:rPr>
              <w:t>Cedefop</w:t>
            </w:r>
            <w:proofErr w:type="spellEnd"/>
            <w:r w:rsidRPr="00131225">
              <w:rPr>
                <w:rFonts w:ascii="Verdana" w:hAnsi="Verdana"/>
                <w:sz w:val="20"/>
                <w:szCs w:val="20"/>
              </w:rPr>
              <w:t>/</w:t>
            </w:r>
            <w:proofErr w:type="spellStart"/>
            <w:r w:rsidRPr="00131225">
              <w:rPr>
                <w:rFonts w:ascii="Verdana" w:hAnsi="Verdana"/>
                <w:sz w:val="20"/>
                <w:szCs w:val="20"/>
              </w:rPr>
              <w:t>Eurydice</w:t>
            </w:r>
            <w:proofErr w:type="spellEnd"/>
            <w:r w:rsidRPr="00131225">
              <w:rPr>
                <w:rFonts w:ascii="Verdana" w:hAnsi="Verdana"/>
                <w:sz w:val="20"/>
                <w:szCs w:val="20"/>
              </w:rPr>
              <w:t xml:space="preserve"> report til DGVET-møtet</w:t>
            </w:r>
            <w:r w:rsidR="00FF42F4" w:rsidRPr="00131225">
              <w:rPr>
                <w:rFonts w:ascii="Verdana" w:hAnsi="Verdana"/>
                <w:sz w:val="20"/>
                <w:szCs w:val="20"/>
              </w:rPr>
              <w:t xml:space="preserve"> om det samme</w:t>
            </w:r>
            <w:r w:rsidRPr="00131225">
              <w:rPr>
                <w:rFonts w:ascii="Verdana" w:hAnsi="Verdana"/>
                <w:sz w:val="20"/>
                <w:szCs w:val="20"/>
              </w:rPr>
              <w:t>.</w:t>
            </w:r>
          </w:p>
          <w:p w:rsidR="00D929CF" w:rsidRPr="005D5F50" w:rsidRDefault="004F7C71" w:rsidP="004F7C71">
            <w:pPr>
              <w:pStyle w:val="Listeavsnitt"/>
              <w:numPr>
                <w:ilvl w:val="0"/>
                <w:numId w:val="4"/>
              </w:numPr>
              <w:tabs>
                <w:tab w:val="left" w:pos="4537"/>
                <w:tab w:val="left" w:pos="6804"/>
              </w:tabs>
              <w:rPr>
                <w:rFonts w:ascii="Verdana" w:hAnsi="Verdana"/>
                <w:b/>
                <w:noProof/>
                <w:sz w:val="20"/>
                <w:szCs w:val="20"/>
              </w:rPr>
            </w:pPr>
            <w:r>
              <w:rPr>
                <w:rFonts w:ascii="Verdana" w:hAnsi="Verdana"/>
                <w:sz w:val="20"/>
                <w:szCs w:val="20"/>
              </w:rPr>
              <w:t xml:space="preserve">Det nye </w:t>
            </w:r>
            <w:r w:rsidR="001E3CA8">
              <w:rPr>
                <w:rFonts w:ascii="Verdana" w:hAnsi="Verdana"/>
                <w:sz w:val="20"/>
                <w:szCs w:val="20"/>
              </w:rPr>
              <w:t>initiativet</w:t>
            </w:r>
            <w:r>
              <w:rPr>
                <w:rFonts w:ascii="Verdana" w:hAnsi="Verdana"/>
                <w:sz w:val="20"/>
                <w:szCs w:val="20"/>
              </w:rPr>
              <w:t xml:space="preserve"> fra </w:t>
            </w:r>
            <w:r w:rsidR="000D36AC">
              <w:rPr>
                <w:rFonts w:ascii="Verdana" w:hAnsi="Verdana"/>
                <w:sz w:val="20"/>
                <w:szCs w:val="20"/>
              </w:rPr>
              <w:t xml:space="preserve">DG </w:t>
            </w:r>
            <w:proofErr w:type="spellStart"/>
            <w:r w:rsidR="000D36AC">
              <w:rPr>
                <w:rFonts w:ascii="Verdana" w:hAnsi="Verdana"/>
                <w:sz w:val="20"/>
                <w:szCs w:val="20"/>
              </w:rPr>
              <w:t>employment</w:t>
            </w:r>
            <w:proofErr w:type="spellEnd"/>
            <w:r>
              <w:rPr>
                <w:rFonts w:ascii="Verdana" w:hAnsi="Verdana"/>
                <w:sz w:val="20"/>
                <w:szCs w:val="20"/>
              </w:rPr>
              <w:t xml:space="preserve"> om å innføre standarder i læreplaner ble diskutert. Partene stilte spørsmål til om </w:t>
            </w:r>
            <w:r w:rsidR="008E50A4" w:rsidRPr="00131225">
              <w:rPr>
                <w:rFonts w:ascii="Verdana" w:hAnsi="Verdana"/>
                <w:sz w:val="20"/>
                <w:szCs w:val="20"/>
              </w:rPr>
              <w:t xml:space="preserve">å innføre standarder i læreplaner kan lede til sosial dumping, </w:t>
            </w:r>
            <w:r w:rsidR="000D36AC">
              <w:rPr>
                <w:rFonts w:ascii="Verdana" w:hAnsi="Verdana"/>
                <w:sz w:val="20"/>
                <w:szCs w:val="20"/>
              </w:rPr>
              <w:t xml:space="preserve">og </w:t>
            </w:r>
            <w:r w:rsidR="003F3B06" w:rsidRPr="00131225">
              <w:rPr>
                <w:rFonts w:ascii="Verdana" w:hAnsi="Verdana"/>
                <w:sz w:val="20"/>
                <w:szCs w:val="20"/>
              </w:rPr>
              <w:t xml:space="preserve">mange ytret at </w:t>
            </w:r>
            <w:r w:rsidR="008E50A4" w:rsidRPr="00131225">
              <w:rPr>
                <w:rFonts w:ascii="Verdana" w:hAnsi="Verdana"/>
                <w:sz w:val="20"/>
                <w:szCs w:val="20"/>
              </w:rPr>
              <w:t>hensikten med dette verktøyet er ikke kommunisert</w:t>
            </w:r>
            <w:r w:rsidR="00F96E87" w:rsidRPr="00131225">
              <w:rPr>
                <w:rFonts w:ascii="Verdana" w:hAnsi="Verdana"/>
                <w:sz w:val="20"/>
                <w:szCs w:val="20"/>
              </w:rPr>
              <w:t xml:space="preserve"> klart</w:t>
            </w:r>
            <w:r w:rsidR="000D36AC">
              <w:rPr>
                <w:rFonts w:ascii="Verdana" w:hAnsi="Verdana"/>
                <w:sz w:val="20"/>
                <w:szCs w:val="20"/>
              </w:rPr>
              <w:t xml:space="preserve"> nok</w:t>
            </w:r>
            <w:r w:rsidR="00E06AA2">
              <w:rPr>
                <w:rFonts w:ascii="Verdana" w:hAnsi="Verdana"/>
                <w:sz w:val="20"/>
                <w:szCs w:val="20"/>
              </w:rPr>
              <w:t xml:space="preserve"> og </w:t>
            </w:r>
            <w:r>
              <w:rPr>
                <w:rFonts w:ascii="Verdana" w:hAnsi="Verdana"/>
                <w:sz w:val="20"/>
                <w:szCs w:val="20"/>
              </w:rPr>
              <w:t xml:space="preserve">myndighetsgruppen var opptatt av </w:t>
            </w:r>
            <w:r w:rsidR="00E06AA2">
              <w:rPr>
                <w:rFonts w:ascii="Verdana" w:hAnsi="Verdana"/>
                <w:sz w:val="20"/>
                <w:szCs w:val="20"/>
              </w:rPr>
              <w:t>at dette må bestemmes på nasjonalt nivå</w:t>
            </w:r>
            <w:r w:rsidR="000D36AC">
              <w:rPr>
                <w:rFonts w:ascii="Verdana" w:hAnsi="Verdana"/>
                <w:sz w:val="20"/>
                <w:szCs w:val="20"/>
              </w:rPr>
              <w:t>.</w:t>
            </w:r>
          </w:p>
          <w:p w:rsidR="005D5F50" w:rsidRPr="005D5F50" w:rsidRDefault="005D5F50" w:rsidP="005D5F50">
            <w:pPr>
              <w:tabs>
                <w:tab w:val="left" w:pos="4537"/>
                <w:tab w:val="left" w:pos="6804"/>
              </w:tabs>
              <w:rPr>
                <w:b/>
                <w:noProof/>
              </w:rPr>
            </w:pPr>
          </w:p>
        </w:tc>
      </w:tr>
    </w:tbl>
    <w:p w:rsidR="007A35C4" w:rsidRDefault="007A35C4" w:rsidP="00D929CF">
      <w:pPr>
        <w:pStyle w:val="Bunntekst"/>
        <w:tabs>
          <w:tab w:val="clear" w:pos="4536"/>
          <w:tab w:val="clear" w:pos="9072"/>
          <w:tab w:val="left" w:pos="4537"/>
          <w:tab w:val="left" w:pos="6804"/>
        </w:tabs>
        <w:rPr>
          <w:noProof/>
        </w:rPr>
      </w:pPr>
    </w:p>
    <w:p w:rsidR="00D929CF" w:rsidRDefault="00D929CF" w:rsidP="00D929CF">
      <w:pPr>
        <w:pStyle w:val="Bunntekst"/>
        <w:tabs>
          <w:tab w:val="clear" w:pos="4536"/>
          <w:tab w:val="clear" w:pos="9072"/>
          <w:tab w:val="left" w:pos="4537"/>
          <w:tab w:val="left" w:pos="6804"/>
        </w:tabs>
        <w:rPr>
          <w:noProof/>
        </w:rPr>
      </w:pPr>
      <w:r>
        <w:rPr>
          <w:noProof/>
        </w:rPr>
        <w:t>Norske innspill</w:t>
      </w:r>
      <w:r w:rsidR="008A4714">
        <w:rPr>
          <w:noProof/>
        </w:rPr>
        <w:t>:</w:t>
      </w:r>
    </w:p>
    <w:p w:rsidR="007A35C4" w:rsidRDefault="007A35C4" w:rsidP="00D929CF">
      <w:pPr>
        <w:pStyle w:val="Bunntekst"/>
        <w:tabs>
          <w:tab w:val="clear" w:pos="4536"/>
          <w:tab w:val="clear" w:pos="9072"/>
          <w:tab w:val="left" w:pos="4537"/>
          <w:tab w:val="left" w:pos="6804"/>
        </w:tabs>
        <w:rPr>
          <w:noProof/>
        </w:rPr>
      </w:pPr>
    </w:p>
    <w:tbl>
      <w:tblPr>
        <w:tblStyle w:val="Tabellrutenett"/>
        <w:tblW w:w="0" w:type="auto"/>
        <w:tblLook w:val="04A0" w:firstRow="1" w:lastRow="0" w:firstColumn="1" w:lastColumn="0" w:noHBand="0" w:noVBand="1"/>
      </w:tblPr>
      <w:tblGrid>
        <w:gridCol w:w="9570"/>
      </w:tblGrid>
      <w:tr w:rsidR="00D929CF" w:rsidTr="00137FDF">
        <w:tc>
          <w:tcPr>
            <w:tcW w:w="10062" w:type="dxa"/>
          </w:tcPr>
          <w:p w:rsidR="003F3B06" w:rsidRDefault="000F79CB" w:rsidP="003F3B06">
            <w:pPr>
              <w:pStyle w:val="Bunntekst"/>
              <w:tabs>
                <w:tab w:val="clear" w:pos="4536"/>
                <w:tab w:val="left" w:pos="4537"/>
                <w:tab w:val="left" w:pos="6804"/>
              </w:tabs>
              <w:rPr>
                <w:noProof/>
              </w:rPr>
            </w:pPr>
            <w:r>
              <w:rPr>
                <w:noProof/>
              </w:rPr>
              <w:t>Brugge review</w:t>
            </w:r>
            <w:r w:rsidR="00706DC2">
              <w:rPr>
                <w:noProof/>
              </w:rPr>
              <w:t xml:space="preserve"> 2015</w:t>
            </w:r>
            <w:r>
              <w:rPr>
                <w:noProof/>
              </w:rPr>
              <w:t>: Norge leverte skriftlig innspill i forkant av møtet</w:t>
            </w:r>
            <w:r w:rsidR="00833974">
              <w:rPr>
                <w:noProof/>
              </w:rPr>
              <w:t xml:space="preserve"> som var samordnet med KD og partsrepresentantene i ACVT. </w:t>
            </w:r>
            <w:r w:rsidR="003F3B06">
              <w:rPr>
                <w:noProof/>
              </w:rPr>
              <w:t xml:space="preserve">Følgende mål ble meldt </w:t>
            </w:r>
            <w:r w:rsidR="00E06AA2">
              <w:rPr>
                <w:noProof/>
              </w:rPr>
              <w:t>inn skriftlig</w:t>
            </w:r>
            <w:r w:rsidR="003F3B06">
              <w:rPr>
                <w:noProof/>
              </w:rPr>
              <w:t>:</w:t>
            </w:r>
          </w:p>
          <w:p w:rsidR="003F3B06" w:rsidRPr="003F3B06" w:rsidRDefault="003F3B06" w:rsidP="003F3B06">
            <w:pPr>
              <w:pStyle w:val="Bunntekst"/>
              <w:tabs>
                <w:tab w:val="clear" w:pos="4536"/>
                <w:tab w:val="left" w:pos="4537"/>
                <w:tab w:val="left" w:pos="6804"/>
              </w:tabs>
              <w:rPr>
                <w:noProof/>
              </w:rPr>
            </w:pPr>
            <w:r w:rsidRPr="003F3B06">
              <w:rPr>
                <w:noProof/>
              </w:rPr>
              <w:t>1. Making IVET an attractive learning option</w:t>
            </w:r>
          </w:p>
          <w:p w:rsidR="003F3B06" w:rsidRPr="003F3B06" w:rsidRDefault="003F3B06" w:rsidP="003F3B06">
            <w:pPr>
              <w:pStyle w:val="Bunntekst"/>
              <w:tabs>
                <w:tab w:val="clear" w:pos="4536"/>
                <w:tab w:val="left" w:pos="4537"/>
                <w:tab w:val="left" w:pos="6804"/>
              </w:tabs>
              <w:rPr>
                <w:noProof/>
                <w:lang w:val="en-US"/>
              </w:rPr>
            </w:pPr>
            <w:r w:rsidRPr="003F3B06">
              <w:rPr>
                <w:noProof/>
                <w:lang w:val="en-US"/>
              </w:rPr>
              <w:t>2.</w:t>
            </w:r>
            <w:r>
              <w:rPr>
                <w:noProof/>
                <w:lang w:val="en-US"/>
              </w:rPr>
              <w:t xml:space="preserve"> </w:t>
            </w:r>
            <w:r w:rsidRPr="003F3B06">
              <w:rPr>
                <w:noProof/>
                <w:lang w:val="en-US"/>
              </w:rPr>
              <w:t>Fostering the excellence, quality and relevance of VET</w:t>
            </w:r>
          </w:p>
          <w:p w:rsidR="003F3B06" w:rsidRPr="003F3B06" w:rsidRDefault="003F3B06" w:rsidP="003F3B06">
            <w:pPr>
              <w:pStyle w:val="Bunntekst"/>
              <w:tabs>
                <w:tab w:val="clear" w:pos="4536"/>
                <w:tab w:val="left" w:pos="4537"/>
                <w:tab w:val="left" w:pos="6804"/>
              </w:tabs>
              <w:rPr>
                <w:noProof/>
                <w:lang w:val="en-US"/>
              </w:rPr>
            </w:pPr>
            <w:r w:rsidRPr="003F3B06">
              <w:rPr>
                <w:noProof/>
                <w:lang w:val="en-US"/>
              </w:rPr>
              <w:t xml:space="preserve">5. Fostering innovation, creativity and entrepreneurship </w:t>
            </w:r>
          </w:p>
          <w:p w:rsidR="00D929CF" w:rsidRPr="007E5F14" w:rsidRDefault="003F3B06" w:rsidP="003F3B06">
            <w:pPr>
              <w:pStyle w:val="Bunntekst"/>
              <w:tabs>
                <w:tab w:val="clear" w:pos="4536"/>
                <w:tab w:val="clear" w:pos="9072"/>
                <w:tab w:val="left" w:pos="4537"/>
                <w:tab w:val="left" w:pos="6804"/>
              </w:tabs>
              <w:rPr>
                <w:noProof/>
                <w:lang w:val="en-US"/>
              </w:rPr>
            </w:pPr>
            <w:r w:rsidRPr="007E5F14">
              <w:rPr>
                <w:noProof/>
                <w:lang w:val="en-US"/>
              </w:rPr>
              <w:t xml:space="preserve">6. Realising inclusive VET  </w:t>
            </w:r>
          </w:p>
          <w:p w:rsidR="00833974" w:rsidRDefault="003F3B06" w:rsidP="00A32AD5">
            <w:pPr>
              <w:pStyle w:val="Bunntekst"/>
              <w:tabs>
                <w:tab w:val="clear" w:pos="4536"/>
                <w:tab w:val="clear" w:pos="9072"/>
                <w:tab w:val="left" w:pos="4537"/>
                <w:tab w:val="left" w:pos="6804"/>
              </w:tabs>
              <w:rPr>
                <w:noProof/>
              </w:rPr>
            </w:pPr>
            <w:r>
              <w:rPr>
                <w:noProof/>
              </w:rPr>
              <w:t xml:space="preserve">Videre ble det bedt om at </w:t>
            </w:r>
            <w:r w:rsidR="00706DC2">
              <w:rPr>
                <w:noProof/>
              </w:rPr>
              <w:t xml:space="preserve">STDer må strømlinjeformes </w:t>
            </w:r>
            <w:r>
              <w:rPr>
                <w:noProof/>
              </w:rPr>
              <w:t>bedre enn</w:t>
            </w:r>
            <w:r w:rsidR="00706DC2">
              <w:rPr>
                <w:noProof/>
              </w:rPr>
              <w:t xml:space="preserve"> tidligere</w:t>
            </w:r>
            <w:r>
              <w:rPr>
                <w:noProof/>
              </w:rPr>
              <w:t xml:space="preserve">, og at det er viktig å ha økt fokus på lærlingeordninger, samtidig ble det vist til insentiver som lærlingeklausuler i offentlige anskaffelser, samt støtte til økt satsing på peer learning, workshops etc. </w:t>
            </w:r>
            <w:r w:rsidR="00E06AA2">
              <w:rPr>
                <w:noProof/>
              </w:rPr>
              <w:t>slik at landene kan</w:t>
            </w:r>
            <w:r>
              <w:rPr>
                <w:noProof/>
              </w:rPr>
              <w:t xml:space="preserve"> lære av hverandre.</w:t>
            </w:r>
          </w:p>
        </w:tc>
      </w:tr>
    </w:tbl>
    <w:p w:rsidR="00D929CF" w:rsidRDefault="00D929CF" w:rsidP="00D929CF">
      <w:pPr>
        <w:pStyle w:val="Bunntekst"/>
        <w:tabs>
          <w:tab w:val="clear" w:pos="4536"/>
          <w:tab w:val="clear" w:pos="9072"/>
          <w:tab w:val="left" w:pos="4537"/>
          <w:tab w:val="left" w:pos="6804"/>
        </w:tabs>
        <w:rPr>
          <w:noProof/>
        </w:rPr>
      </w:pPr>
    </w:p>
    <w:p w:rsidR="00D929CF" w:rsidRDefault="00D929CF" w:rsidP="00D929CF">
      <w:pPr>
        <w:pStyle w:val="Bunntekst"/>
        <w:tabs>
          <w:tab w:val="clear" w:pos="4536"/>
          <w:tab w:val="clear" w:pos="9072"/>
          <w:tab w:val="left" w:pos="4537"/>
          <w:tab w:val="left" w:pos="6804"/>
        </w:tabs>
        <w:rPr>
          <w:noProof/>
        </w:rPr>
      </w:pPr>
    </w:p>
    <w:p w:rsidR="00D929CF" w:rsidRDefault="00D929CF" w:rsidP="00D929CF">
      <w:pPr>
        <w:pStyle w:val="Bunntekst"/>
        <w:tabs>
          <w:tab w:val="clear" w:pos="4536"/>
          <w:tab w:val="clear" w:pos="9072"/>
          <w:tab w:val="left" w:pos="4537"/>
          <w:tab w:val="left" w:pos="6804"/>
        </w:tabs>
        <w:rPr>
          <w:noProof/>
        </w:rPr>
      </w:pPr>
      <w:r>
        <w:rPr>
          <w:noProof/>
        </w:rPr>
        <w:t>Oppfølgingspunkter</w:t>
      </w:r>
      <w:r w:rsidR="008A4714">
        <w:rPr>
          <w:noProof/>
        </w:rPr>
        <w:t>:</w:t>
      </w:r>
    </w:p>
    <w:tbl>
      <w:tblPr>
        <w:tblStyle w:val="Tabellrutenett"/>
        <w:tblW w:w="0" w:type="auto"/>
        <w:tblLook w:val="04A0" w:firstRow="1" w:lastRow="0" w:firstColumn="1" w:lastColumn="0" w:noHBand="0" w:noVBand="1"/>
      </w:tblPr>
      <w:tblGrid>
        <w:gridCol w:w="9570"/>
      </w:tblGrid>
      <w:tr w:rsidR="00D929CF" w:rsidTr="00137FDF">
        <w:tc>
          <w:tcPr>
            <w:tcW w:w="10062" w:type="dxa"/>
          </w:tcPr>
          <w:p w:rsidR="008A4714" w:rsidRDefault="005E3BB7" w:rsidP="00137FDF">
            <w:pPr>
              <w:pStyle w:val="Bunntekst"/>
              <w:tabs>
                <w:tab w:val="clear" w:pos="4536"/>
                <w:tab w:val="clear" w:pos="9072"/>
                <w:tab w:val="left" w:pos="4537"/>
                <w:tab w:val="left" w:pos="6804"/>
              </w:tabs>
              <w:rPr>
                <w:noProof/>
              </w:rPr>
            </w:pPr>
            <w:r>
              <w:rPr>
                <w:noProof/>
              </w:rPr>
              <w:t>KD informeres om at det</w:t>
            </w:r>
            <w:r w:rsidR="009B6E8E">
              <w:rPr>
                <w:noProof/>
              </w:rPr>
              <w:t xml:space="preserve"> kan </w:t>
            </w:r>
            <w:r>
              <w:rPr>
                <w:noProof/>
              </w:rPr>
              <w:t xml:space="preserve">etter observert diskusjonen i formøte og ACVT </w:t>
            </w:r>
            <w:r w:rsidR="009B6E8E">
              <w:rPr>
                <w:noProof/>
              </w:rPr>
              <w:t xml:space="preserve">synes </w:t>
            </w:r>
            <w:r>
              <w:rPr>
                <w:noProof/>
              </w:rPr>
              <w:t xml:space="preserve">det være noe misnøye i government-gruppen særlig med at </w:t>
            </w:r>
            <w:r w:rsidR="009B6E8E" w:rsidRPr="009B6E8E">
              <w:rPr>
                <w:noProof/>
              </w:rPr>
              <w:t xml:space="preserve">KOM </w:t>
            </w:r>
            <w:r w:rsidR="009B6E8E">
              <w:rPr>
                <w:noProof/>
              </w:rPr>
              <w:t xml:space="preserve">i større grad enn tidligere (etter sammenslåing </w:t>
            </w:r>
            <w:r>
              <w:rPr>
                <w:noProof/>
              </w:rPr>
              <w:t xml:space="preserve">i DG EAC av </w:t>
            </w:r>
            <w:r w:rsidR="009B6E8E">
              <w:rPr>
                <w:noProof/>
              </w:rPr>
              <w:t>VET og adult educ</w:t>
            </w:r>
            <w:r>
              <w:rPr>
                <w:noProof/>
              </w:rPr>
              <w:t>ation</w:t>
            </w:r>
            <w:r w:rsidR="009B6E8E">
              <w:rPr>
                <w:noProof/>
              </w:rPr>
              <w:t xml:space="preserve"> og med sterkere samarbeid </w:t>
            </w:r>
            <w:r>
              <w:rPr>
                <w:noProof/>
              </w:rPr>
              <w:t xml:space="preserve">med </w:t>
            </w:r>
            <w:r w:rsidR="009B6E8E">
              <w:rPr>
                <w:noProof/>
              </w:rPr>
              <w:t>DG employment</w:t>
            </w:r>
            <w:r>
              <w:rPr>
                <w:noProof/>
              </w:rPr>
              <w:t>)</w:t>
            </w:r>
            <w:r w:rsidR="009B6E8E">
              <w:rPr>
                <w:noProof/>
              </w:rPr>
              <w:t xml:space="preserve"> </w:t>
            </w:r>
            <w:r w:rsidR="009B6E8E" w:rsidRPr="009B6E8E">
              <w:rPr>
                <w:noProof/>
              </w:rPr>
              <w:t xml:space="preserve">søker </w:t>
            </w:r>
            <w:r w:rsidR="00245274">
              <w:rPr>
                <w:noProof/>
              </w:rPr>
              <w:t>s</w:t>
            </w:r>
            <w:r w:rsidR="00117EF1">
              <w:rPr>
                <w:noProof/>
              </w:rPr>
              <w:t xml:space="preserve">ikre </w:t>
            </w:r>
            <w:r>
              <w:rPr>
                <w:noProof/>
              </w:rPr>
              <w:t>legitimitet</w:t>
            </w:r>
            <w:r w:rsidR="00117EF1">
              <w:rPr>
                <w:noProof/>
              </w:rPr>
              <w:t xml:space="preserve"> ved å konsultere ulike brukergrupper som ikke er nødvendigvis har forankret og konsolidert sine standpunkt med landenes utdannings- og</w:t>
            </w:r>
            <w:r w:rsidR="00F96E87">
              <w:rPr>
                <w:noProof/>
              </w:rPr>
              <w:t>/eller</w:t>
            </w:r>
            <w:r w:rsidR="00117EF1">
              <w:rPr>
                <w:noProof/>
              </w:rPr>
              <w:t xml:space="preserve"> arbeidsmarkedsmyndigheter</w:t>
            </w:r>
            <w:bookmarkStart w:id="5" w:name="_GoBack"/>
            <w:bookmarkEnd w:id="5"/>
            <w:r w:rsidR="00117EF1">
              <w:rPr>
                <w:noProof/>
              </w:rPr>
              <w:t>.</w:t>
            </w:r>
            <w:r w:rsidR="008A4714">
              <w:rPr>
                <w:noProof/>
              </w:rPr>
              <w:t xml:space="preserve"> Samtidig </w:t>
            </w:r>
            <w:r w:rsidR="00706DC2">
              <w:rPr>
                <w:noProof/>
              </w:rPr>
              <w:t xml:space="preserve">påpekte en rekke land at </w:t>
            </w:r>
            <w:r w:rsidR="008A4714">
              <w:rPr>
                <w:noProof/>
              </w:rPr>
              <w:t xml:space="preserve">KOM </w:t>
            </w:r>
            <w:r w:rsidR="00706DC2">
              <w:rPr>
                <w:noProof/>
              </w:rPr>
              <w:t xml:space="preserve">synes trekke </w:t>
            </w:r>
            <w:r w:rsidR="008A4714">
              <w:rPr>
                <w:noProof/>
              </w:rPr>
              <w:t xml:space="preserve">foreløpige konklusjoner </w:t>
            </w:r>
            <w:r w:rsidR="00706DC2">
              <w:rPr>
                <w:noProof/>
              </w:rPr>
              <w:t>i</w:t>
            </w:r>
            <w:r w:rsidR="008A4714">
              <w:rPr>
                <w:noProof/>
              </w:rPr>
              <w:t xml:space="preserve"> </w:t>
            </w:r>
            <w:r w:rsidR="00D60858">
              <w:rPr>
                <w:noProof/>
              </w:rPr>
              <w:t xml:space="preserve">viktige </w:t>
            </w:r>
            <w:r w:rsidR="008A4714">
              <w:rPr>
                <w:noProof/>
              </w:rPr>
              <w:t xml:space="preserve">saker </w:t>
            </w:r>
            <w:r w:rsidR="00706DC2">
              <w:rPr>
                <w:noProof/>
              </w:rPr>
              <w:t xml:space="preserve">før de </w:t>
            </w:r>
            <w:r w:rsidR="008A4714">
              <w:rPr>
                <w:noProof/>
              </w:rPr>
              <w:t>legges fram for uttalelse i ACVT og andre aktuelle fora</w:t>
            </w:r>
            <w:r w:rsidR="00706DC2">
              <w:rPr>
                <w:noProof/>
              </w:rPr>
              <w:t xml:space="preserve">. </w:t>
            </w:r>
          </w:p>
          <w:p w:rsidR="005E3BB7" w:rsidRDefault="005E3BB7" w:rsidP="00137FDF">
            <w:pPr>
              <w:pStyle w:val="Bunntekst"/>
              <w:tabs>
                <w:tab w:val="clear" w:pos="4536"/>
                <w:tab w:val="clear" w:pos="9072"/>
                <w:tab w:val="left" w:pos="4537"/>
                <w:tab w:val="left" w:pos="6804"/>
              </w:tabs>
              <w:rPr>
                <w:noProof/>
              </w:rPr>
            </w:pPr>
          </w:p>
          <w:p w:rsidR="003476F9" w:rsidRDefault="00F96E87" w:rsidP="00137FDF">
            <w:pPr>
              <w:pStyle w:val="Bunntekst"/>
              <w:tabs>
                <w:tab w:val="clear" w:pos="4536"/>
                <w:tab w:val="clear" w:pos="9072"/>
                <w:tab w:val="left" w:pos="4537"/>
                <w:tab w:val="left" w:pos="6804"/>
              </w:tabs>
              <w:rPr>
                <w:noProof/>
              </w:rPr>
            </w:pPr>
            <w:r>
              <w:rPr>
                <w:noProof/>
              </w:rPr>
              <w:t>Norge bør v</w:t>
            </w:r>
            <w:r w:rsidR="000F79CB">
              <w:rPr>
                <w:noProof/>
              </w:rPr>
              <w:t xml:space="preserve">ære oppmerksom på at ESCO kan bli innført via </w:t>
            </w:r>
            <w:r w:rsidR="00117EF1">
              <w:rPr>
                <w:noProof/>
              </w:rPr>
              <w:t>en EU</w:t>
            </w:r>
            <w:r w:rsidR="003476F9">
              <w:rPr>
                <w:noProof/>
              </w:rPr>
              <w:t xml:space="preserve"> </w:t>
            </w:r>
            <w:r w:rsidR="00117EF1">
              <w:rPr>
                <w:noProof/>
              </w:rPr>
              <w:t xml:space="preserve">forordning </w:t>
            </w:r>
            <w:r w:rsidR="003476F9">
              <w:rPr>
                <w:noProof/>
              </w:rPr>
              <w:t xml:space="preserve">initiert via </w:t>
            </w:r>
            <w:r w:rsidR="000F79CB">
              <w:rPr>
                <w:noProof/>
              </w:rPr>
              <w:t>DG employment.</w:t>
            </w:r>
            <w:r>
              <w:rPr>
                <w:noProof/>
              </w:rPr>
              <w:t xml:space="preserve"> (</w:t>
            </w:r>
            <w:r w:rsidR="00B12D21">
              <w:rPr>
                <w:noProof/>
              </w:rPr>
              <w:t xml:space="preserve">Vi bør følge med på </w:t>
            </w:r>
            <w:r>
              <w:rPr>
                <w:noProof/>
              </w:rPr>
              <w:t>hva som skjer, jf min rapport til KD des</w:t>
            </w:r>
            <w:r w:rsidR="00B12D21">
              <w:rPr>
                <w:noProof/>
              </w:rPr>
              <w:t>.</w:t>
            </w:r>
            <w:r>
              <w:rPr>
                <w:noProof/>
              </w:rPr>
              <w:t xml:space="preserve"> 2013.)</w:t>
            </w:r>
          </w:p>
          <w:p w:rsidR="003476F9" w:rsidRDefault="003476F9" w:rsidP="00137FDF">
            <w:pPr>
              <w:pStyle w:val="Bunntekst"/>
              <w:tabs>
                <w:tab w:val="clear" w:pos="4536"/>
                <w:tab w:val="clear" w:pos="9072"/>
                <w:tab w:val="left" w:pos="4537"/>
                <w:tab w:val="left" w:pos="6804"/>
              </w:tabs>
              <w:rPr>
                <w:noProof/>
              </w:rPr>
            </w:pPr>
          </w:p>
          <w:p w:rsidR="00D929CF" w:rsidRDefault="003476F9" w:rsidP="00137FDF">
            <w:pPr>
              <w:pStyle w:val="Bunntekst"/>
              <w:tabs>
                <w:tab w:val="clear" w:pos="4536"/>
                <w:tab w:val="clear" w:pos="9072"/>
                <w:tab w:val="left" w:pos="4537"/>
                <w:tab w:val="left" w:pos="6804"/>
              </w:tabs>
              <w:rPr>
                <w:noProof/>
              </w:rPr>
            </w:pPr>
            <w:r>
              <w:rPr>
                <w:noProof/>
              </w:rPr>
              <w:t xml:space="preserve">Norge bør være oppmerksom på </w:t>
            </w:r>
            <w:r w:rsidR="00F96E87">
              <w:rPr>
                <w:noProof/>
              </w:rPr>
              <w:t xml:space="preserve">ev konsultasjoner knyttet til </w:t>
            </w:r>
            <w:r>
              <w:rPr>
                <w:noProof/>
              </w:rPr>
              <w:t xml:space="preserve">DG Employment’s nye initiativ </w:t>
            </w:r>
            <w:r w:rsidR="00A32AD5">
              <w:rPr>
                <w:noProof/>
              </w:rPr>
              <w:t xml:space="preserve">om </w:t>
            </w:r>
            <w:r>
              <w:rPr>
                <w:noProof/>
              </w:rPr>
              <w:t xml:space="preserve">å legge inn standarder i læreplaner. </w:t>
            </w:r>
            <w:r w:rsidR="00F96E87">
              <w:rPr>
                <w:noProof/>
              </w:rPr>
              <w:t>Dette mener vi vel er et nasjonalt anliggende.</w:t>
            </w:r>
            <w:r>
              <w:rPr>
                <w:noProof/>
              </w:rPr>
              <w:t xml:space="preserve"> </w:t>
            </w:r>
            <w:r w:rsidR="000F79CB">
              <w:rPr>
                <w:noProof/>
              </w:rPr>
              <w:t xml:space="preserve"> </w:t>
            </w:r>
          </w:p>
          <w:p w:rsidR="00833974" w:rsidRDefault="00833974" w:rsidP="00137FDF">
            <w:pPr>
              <w:pStyle w:val="Bunntekst"/>
              <w:tabs>
                <w:tab w:val="clear" w:pos="4536"/>
                <w:tab w:val="clear" w:pos="9072"/>
                <w:tab w:val="left" w:pos="4537"/>
                <w:tab w:val="left" w:pos="6804"/>
              </w:tabs>
              <w:rPr>
                <w:noProof/>
              </w:rPr>
            </w:pPr>
          </w:p>
          <w:p w:rsidR="00D929CF" w:rsidRDefault="00833974" w:rsidP="00137FDF">
            <w:pPr>
              <w:pStyle w:val="Bunntekst"/>
              <w:tabs>
                <w:tab w:val="clear" w:pos="4536"/>
                <w:tab w:val="clear" w:pos="9072"/>
                <w:tab w:val="left" w:pos="4537"/>
                <w:tab w:val="left" w:pos="6804"/>
              </w:tabs>
              <w:rPr>
                <w:noProof/>
              </w:rPr>
            </w:pPr>
            <w:r>
              <w:rPr>
                <w:noProof/>
              </w:rPr>
              <w:t xml:space="preserve">Fortsatt fokus på WBL og apprenticeships i EU, samt attractiveness, særlig dualmodeller synes nå prøvd ut via samarbeid </w:t>
            </w:r>
            <w:r w:rsidR="00A32AD5">
              <w:rPr>
                <w:noProof/>
              </w:rPr>
              <w:t>mellom land med dualmodeller</w:t>
            </w:r>
            <w:r w:rsidR="00B12D21">
              <w:rPr>
                <w:noProof/>
              </w:rPr>
              <w:t xml:space="preserve"> </w:t>
            </w:r>
            <w:r w:rsidR="00A32AD5">
              <w:rPr>
                <w:noProof/>
              </w:rPr>
              <w:t>(</w:t>
            </w:r>
            <w:r w:rsidR="00B12D21">
              <w:rPr>
                <w:noProof/>
              </w:rPr>
              <w:t>Tyskland, Dk, Østerrike</w:t>
            </w:r>
            <w:r w:rsidR="00A32AD5">
              <w:rPr>
                <w:noProof/>
              </w:rPr>
              <w:t>)</w:t>
            </w:r>
            <w:r w:rsidR="00B12D21">
              <w:rPr>
                <w:noProof/>
              </w:rPr>
              <w:t xml:space="preserve"> og land i sør-øst Europa </w:t>
            </w:r>
            <w:r>
              <w:rPr>
                <w:noProof/>
              </w:rPr>
              <w:t>knyttet til European alliance for apprenticeships (EAfA)</w:t>
            </w:r>
            <w:r w:rsidR="00D60858">
              <w:t>.</w:t>
            </w:r>
            <w:r w:rsidR="005D5F50">
              <w:rPr>
                <w:noProof/>
              </w:rPr>
              <w:t xml:space="preserve"> </w:t>
            </w:r>
          </w:p>
          <w:p w:rsidR="003F3B06" w:rsidRDefault="003F3B06" w:rsidP="003D4950">
            <w:pPr>
              <w:pStyle w:val="Bunntekst"/>
              <w:tabs>
                <w:tab w:val="clear" w:pos="4536"/>
                <w:tab w:val="clear" w:pos="9072"/>
                <w:tab w:val="left" w:pos="4537"/>
                <w:tab w:val="left" w:pos="6804"/>
              </w:tabs>
              <w:rPr>
                <w:noProof/>
              </w:rPr>
            </w:pPr>
            <w:r w:rsidRPr="003F3B06">
              <w:rPr>
                <w:noProof/>
              </w:rPr>
              <w:t>Viktig konferanse</w:t>
            </w:r>
            <w:r>
              <w:rPr>
                <w:noProof/>
              </w:rPr>
              <w:t xml:space="preserve"> </w:t>
            </w:r>
            <w:r w:rsidR="003D4950">
              <w:rPr>
                <w:noProof/>
              </w:rPr>
              <w:t>å vurd. deltakelse:</w:t>
            </w:r>
            <w:r>
              <w:rPr>
                <w:noProof/>
              </w:rPr>
              <w:t xml:space="preserve"> Reforming VET</w:t>
            </w:r>
            <w:r w:rsidRPr="003F3B06">
              <w:rPr>
                <w:noProof/>
              </w:rPr>
              <w:t xml:space="preserve"> in Europe – what next? Thessaloniki 29</w:t>
            </w:r>
            <w:r w:rsidR="003D4950">
              <w:rPr>
                <w:noProof/>
              </w:rPr>
              <w:t>.</w:t>
            </w:r>
            <w:r w:rsidRPr="003F3B06">
              <w:rPr>
                <w:noProof/>
              </w:rPr>
              <w:t>-30</w:t>
            </w:r>
            <w:r w:rsidR="003D4950">
              <w:rPr>
                <w:noProof/>
              </w:rPr>
              <w:t>. s</w:t>
            </w:r>
            <w:r w:rsidRPr="003F3B06">
              <w:rPr>
                <w:noProof/>
              </w:rPr>
              <w:t>eptember 2014.</w:t>
            </w:r>
          </w:p>
        </w:tc>
      </w:tr>
    </w:tbl>
    <w:p w:rsidR="00EF5CA1" w:rsidRDefault="00EF5CA1"/>
    <w:p w:rsidR="00EF5CA1" w:rsidRDefault="00EF5CA1"/>
    <w:p w:rsidR="00EF5CA1" w:rsidRDefault="00EF5CA1"/>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84"/>
      </w:tblGrid>
      <w:tr w:rsidR="00F51480" w:rsidTr="00D75F03">
        <w:tc>
          <w:tcPr>
            <w:tcW w:w="4928" w:type="dxa"/>
          </w:tcPr>
          <w:p w:rsidR="00F51480" w:rsidRDefault="00F51480"/>
        </w:tc>
        <w:tc>
          <w:tcPr>
            <w:tcW w:w="4284" w:type="dxa"/>
          </w:tcPr>
          <w:p w:rsidR="00F51480" w:rsidRDefault="00F51480"/>
        </w:tc>
      </w:tr>
      <w:tr w:rsidR="00F51480" w:rsidTr="00D75F03">
        <w:tc>
          <w:tcPr>
            <w:tcW w:w="4928" w:type="dxa"/>
          </w:tcPr>
          <w:p w:rsidR="00F51480" w:rsidRDefault="00F51480"/>
        </w:tc>
        <w:tc>
          <w:tcPr>
            <w:tcW w:w="4284" w:type="dxa"/>
          </w:tcPr>
          <w:p w:rsidR="00F51480" w:rsidRDefault="00F51480"/>
        </w:tc>
      </w:tr>
      <w:tr w:rsidR="00F51480" w:rsidTr="00D75F03">
        <w:tc>
          <w:tcPr>
            <w:tcW w:w="4928" w:type="dxa"/>
          </w:tcPr>
          <w:p w:rsidR="00F51480" w:rsidRDefault="00F51480"/>
        </w:tc>
        <w:tc>
          <w:tcPr>
            <w:tcW w:w="4284" w:type="dxa"/>
          </w:tcPr>
          <w:p w:rsidR="00F51480" w:rsidRDefault="00F51480"/>
        </w:tc>
      </w:tr>
      <w:tr w:rsidR="00F51480" w:rsidTr="00D75F03">
        <w:tc>
          <w:tcPr>
            <w:tcW w:w="4928" w:type="dxa"/>
          </w:tcPr>
          <w:p w:rsidR="00F51480" w:rsidRDefault="00F51480"/>
        </w:tc>
        <w:tc>
          <w:tcPr>
            <w:tcW w:w="4284" w:type="dxa"/>
          </w:tcPr>
          <w:p w:rsidR="00F51480" w:rsidRDefault="00F51480"/>
        </w:tc>
      </w:tr>
    </w:tbl>
    <w:p w:rsidR="007D4E0D" w:rsidRDefault="007D4E0D"/>
    <w:sectPr w:rsidR="007D4E0D" w:rsidSect="00CC26C6">
      <w:headerReference w:type="default" r:id="rId13"/>
      <w:footerReference w:type="first" r:id="rId14"/>
      <w:type w:val="continuous"/>
      <w:pgSz w:w="11906" w:h="16838"/>
      <w:pgMar w:top="567" w:right="1418" w:bottom="851" w:left="1134" w:header="709" w:footer="19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A46" w:rsidRDefault="008A6A46" w:rsidP="00AB0E95">
      <w:r>
        <w:separator/>
      </w:r>
    </w:p>
  </w:endnote>
  <w:endnote w:type="continuationSeparator" w:id="0">
    <w:p w:rsidR="008A6A46" w:rsidRDefault="008A6A46" w:rsidP="00AB0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enett"/>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4"/>
      <w:gridCol w:w="1648"/>
      <w:gridCol w:w="2815"/>
      <w:gridCol w:w="2056"/>
    </w:tblGrid>
    <w:tr w:rsidR="00D1414F" w:rsidRPr="00D1414F" w:rsidTr="00644657">
      <w:tc>
        <w:tcPr>
          <w:tcW w:w="3404" w:type="dxa"/>
          <w:tcBorders>
            <w:top w:val="single" w:sz="4" w:space="0" w:color="auto"/>
          </w:tcBorders>
        </w:tcPr>
        <w:p w:rsidR="00FF6C69" w:rsidRPr="00D1414F" w:rsidRDefault="00FF6C69" w:rsidP="00AF01A7">
          <w:pPr>
            <w:pStyle w:val="Bunntekst"/>
            <w:rPr>
              <w:b/>
              <w:sz w:val="14"/>
              <w:szCs w:val="14"/>
              <w:lang w:val="nn-NO"/>
            </w:rPr>
          </w:pPr>
          <w:r w:rsidRPr="00D1414F">
            <w:rPr>
              <w:b/>
              <w:sz w:val="14"/>
              <w:szCs w:val="14"/>
              <w:lang w:val="nn-NO"/>
            </w:rPr>
            <w:t>Postadresse:</w:t>
          </w:r>
        </w:p>
        <w:p w:rsidR="00FF6C69" w:rsidRPr="00563472" w:rsidRDefault="00FF6C69" w:rsidP="00AF01A7">
          <w:pPr>
            <w:pStyle w:val="Bunntekst"/>
            <w:rPr>
              <w:sz w:val="16"/>
              <w:szCs w:val="16"/>
            </w:rPr>
          </w:pPr>
          <w:r w:rsidRPr="00563472">
            <w:rPr>
              <w:sz w:val="16"/>
              <w:szCs w:val="16"/>
              <w:lang w:val="nn-NO"/>
            </w:rPr>
            <w:t>Postboks 9359 Grønland, 0135 OSLO</w:t>
          </w:r>
        </w:p>
      </w:tc>
      <w:tc>
        <w:tcPr>
          <w:tcW w:w="1648" w:type="dxa"/>
          <w:tcBorders>
            <w:top w:val="single" w:sz="4" w:space="0" w:color="auto"/>
          </w:tcBorders>
        </w:tcPr>
        <w:p w:rsidR="00FF6C69" w:rsidRPr="00D1414F" w:rsidRDefault="00FF6C69" w:rsidP="00AF01A7">
          <w:pPr>
            <w:pStyle w:val="Bunntekst"/>
            <w:tabs>
              <w:tab w:val="left" w:pos="826"/>
            </w:tabs>
            <w:rPr>
              <w:b/>
              <w:sz w:val="14"/>
              <w:szCs w:val="14"/>
            </w:rPr>
          </w:pPr>
          <w:r w:rsidRPr="00D1414F">
            <w:rPr>
              <w:b/>
              <w:sz w:val="14"/>
              <w:szCs w:val="14"/>
            </w:rPr>
            <w:t>Telefon:</w:t>
          </w:r>
        </w:p>
        <w:p w:rsidR="00FF6C69" w:rsidRPr="00563472" w:rsidRDefault="00FF6C69" w:rsidP="00AF01A7">
          <w:pPr>
            <w:pStyle w:val="Bunntekst"/>
            <w:tabs>
              <w:tab w:val="left" w:pos="826"/>
            </w:tabs>
            <w:rPr>
              <w:sz w:val="16"/>
              <w:szCs w:val="16"/>
            </w:rPr>
          </w:pPr>
          <w:r w:rsidRPr="00563472">
            <w:rPr>
              <w:sz w:val="16"/>
              <w:szCs w:val="16"/>
              <w:lang w:val="de-DE"/>
            </w:rPr>
            <w:t>+47 23 30 12 00</w:t>
          </w:r>
        </w:p>
      </w:tc>
      <w:tc>
        <w:tcPr>
          <w:tcW w:w="2815" w:type="dxa"/>
          <w:tcBorders>
            <w:top w:val="single" w:sz="4" w:space="0" w:color="auto"/>
          </w:tcBorders>
        </w:tcPr>
        <w:p w:rsidR="00FF6C69" w:rsidRPr="00D1414F" w:rsidRDefault="00FF6C69" w:rsidP="00AF01A7">
          <w:pPr>
            <w:pStyle w:val="Bunntekst"/>
            <w:tabs>
              <w:tab w:val="left" w:pos="726"/>
            </w:tabs>
            <w:rPr>
              <w:b/>
              <w:sz w:val="14"/>
              <w:szCs w:val="14"/>
              <w:lang w:val="de-DE"/>
            </w:rPr>
          </w:pPr>
          <w:r w:rsidRPr="00D1414F">
            <w:rPr>
              <w:b/>
              <w:sz w:val="14"/>
              <w:szCs w:val="14"/>
              <w:lang w:val="it-IT"/>
            </w:rPr>
            <w:t>E-</w:t>
          </w:r>
          <w:proofErr w:type="spellStart"/>
          <w:r w:rsidRPr="00D1414F">
            <w:rPr>
              <w:b/>
              <w:sz w:val="14"/>
              <w:szCs w:val="14"/>
              <w:lang w:val="de-DE"/>
            </w:rPr>
            <w:t>post</w:t>
          </w:r>
          <w:proofErr w:type="spellEnd"/>
          <w:r w:rsidRPr="00D1414F">
            <w:rPr>
              <w:b/>
              <w:sz w:val="14"/>
              <w:szCs w:val="14"/>
              <w:lang w:val="de-DE"/>
            </w:rPr>
            <w:t>:</w:t>
          </w:r>
        </w:p>
        <w:p w:rsidR="00FF6C69" w:rsidRPr="00563472" w:rsidRDefault="00FF6C69" w:rsidP="00AF01A7">
          <w:pPr>
            <w:pStyle w:val="Bunntekst"/>
            <w:tabs>
              <w:tab w:val="left" w:pos="726"/>
            </w:tabs>
            <w:rPr>
              <w:sz w:val="16"/>
              <w:szCs w:val="16"/>
            </w:rPr>
          </w:pPr>
          <w:r w:rsidRPr="00563472">
            <w:rPr>
              <w:sz w:val="16"/>
              <w:szCs w:val="16"/>
              <w:lang w:val="de-DE"/>
            </w:rPr>
            <w:t>post@utdanningsdirektoratet.no</w:t>
          </w:r>
        </w:p>
      </w:tc>
      <w:tc>
        <w:tcPr>
          <w:tcW w:w="2056" w:type="dxa"/>
          <w:tcBorders>
            <w:top w:val="single" w:sz="4" w:space="0" w:color="auto"/>
          </w:tcBorders>
        </w:tcPr>
        <w:p w:rsidR="00FF6C69" w:rsidRPr="00D1414F" w:rsidRDefault="00FF6C69" w:rsidP="00AF01A7">
          <w:pPr>
            <w:pStyle w:val="Bunntekst"/>
            <w:tabs>
              <w:tab w:val="left" w:pos="726"/>
            </w:tabs>
            <w:rPr>
              <w:b/>
              <w:sz w:val="14"/>
              <w:szCs w:val="14"/>
              <w:lang w:val="it-IT"/>
            </w:rPr>
          </w:pPr>
          <w:r w:rsidRPr="00D1414F">
            <w:rPr>
              <w:b/>
              <w:sz w:val="14"/>
              <w:szCs w:val="14"/>
              <w:lang w:val="it-IT"/>
            </w:rPr>
            <w:t>Bankgiro:</w:t>
          </w:r>
        </w:p>
        <w:p w:rsidR="00FF6C69" w:rsidRPr="00563472" w:rsidRDefault="00FF6C69" w:rsidP="00AF01A7">
          <w:pPr>
            <w:pStyle w:val="Bunntekst"/>
            <w:tabs>
              <w:tab w:val="left" w:pos="713"/>
            </w:tabs>
            <w:rPr>
              <w:sz w:val="16"/>
              <w:szCs w:val="16"/>
            </w:rPr>
          </w:pPr>
          <w:r w:rsidRPr="00563472">
            <w:rPr>
              <w:sz w:val="16"/>
              <w:szCs w:val="16"/>
              <w:lang w:val="en-US"/>
            </w:rPr>
            <w:t>7694 05 10879</w:t>
          </w:r>
        </w:p>
      </w:tc>
    </w:tr>
    <w:tr w:rsidR="00D1414F" w:rsidRPr="00D1414F" w:rsidTr="00563472">
      <w:tc>
        <w:tcPr>
          <w:tcW w:w="3404" w:type="dxa"/>
        </w:tcPr>
        <w:p w:rsidR="00FF6C69" w:rsidRPr="00D1414F" w:rsidRDefault="00FF6C69" w:rsidP="00AF01A7">
          <w:pPr>
            <w:pStyle w:val="Bunntekst"/>
            <w:rPr>
              <w:b/>
              <w:sz w:val="14"/>
              <w:szCs w:val="14"/>
              <w:lang w:val="nn-NO"/>
            </w:rPr>
          </w:pPr>
          <w:r w:rsidRPr="00D1414F">
            <w:rPr>
              <w:b/>
              <w:sz w:val="14"/>
              <w:szCs w:val="14"/>
              <w:lang w:val="nn-NO"/>
            </w:rPr>
            <w:t>Besøksadresser:</w:t>
          </w:r>
        </w:p>
        <w:p w:rsidR="00FF6C69" w:rsidRPr="00563472" w:rsidRDefault="00FF6C69" w:rsidP="00AF01A7">
          <w:pPr>
            <w:pStyle w:val="Bunntekst"/>
            <w:tabs>
              <w:tab w:val="right" w:pos="2860"/>
            </w:tabs>
            <w:rPr>
              <w:sz w:val="16"/>
              <w:szCs w:val="16"/>
              <w:lang w:val="nn-NO"/>
            </w:rPr>
          </w:pPr>
          <w:r w:rsidRPr="00563472">
            <w:rPr>
              <w:sz w:val="16"/>
              <w:szCs w:val="16"/>
              <w:lang w:val="nn-NO"/>
            </w:rPr>
            <w:t xml:space="preserve">Schweigaards gate 15 B, Oslo </w:t>
          </w:r>
        </w:p>
        <w:p w:rsidR="00FF6C69" w:rsidRPr="00563472" w:rsidRDefault="00FF6C69" w:rsidP="00AF01A7">
          <w:pPr>
            <w:pStyle w:val="Bunntekst"/>
            <w:tabs>
              <w:tab w:val="right" w:pos="2860"/>
            </w:tabs>
            <w:rPr>
              <w:sz w:val="16"/>
              <w:szCs w:val="16"/>
              <w:lang w:val="nn-NO"/>
            </w:rPr>
          </w:pPr>
          <w:proofErr w:type="spellStart"/>
          <w:r w:rsidRPr="00563472">
            <w:rPr>
              <w:sz w:val="16"/>
              <w:szCs w:val="16"/>
              <w:lang w:val="nn-NO"/>
            </w:rPr>
            <w:t>Britveien</w:t>
          </w:r>
          <w:proofErr w:type="spellEnd"/>
          <w:r w:rsidRPr="00563472">
            <w:rPr>
              <w:sz w:val="16"/>
              <w:szCs w:val="16"/>
              <w:lang w:val="nn-NO"/>
            </w:rPr>
            <w:t xml:space="preserve"> 4, Molde </w:t>
          </w:r>
        </w:p>
        <w:p w:rsidR="00FF6C69" w:rsidRPr="00D1414F" w:rsidRDefault="00FF6C69" w:rsidP="00AF01A7">
          <w:pPr>
            <w:pStyle w:val="Bunntekst"/>
            <w:rPr>
              <w:sz w:val="14"/>
              <w:szCs w:val="14"/>
            </w:rPr>
          </w:pPr>
          <w:r w:rsidRPr="00563472">
            <w:rPr>
              <w:sz w:val="16"/>
              <w:szCs w:val="16"/>
            </w:rPr>
            <w:t>Parkgata 36, Hamar</w:t>
          </w:r>
        </w:p>
      </w:tc>
      <w:tc>
        <w:tcPr>
          <w:tcW w:w="1648" w:type="dxa"/>
        </w:tcPr>
        <w:p w:rsidR="00FF6C69" w:rsidRPr="00D1414F" w:rsidRDefault="00FF6C69" w:rsidP="00AF01A7">
          <w:pPr>
            <w:pStyle w:val="Bunntekst"/>
            <w:tabs>
              <w:tab w:val="left" w:pos="826"/>
            </w:tabs>
            <w:rPr>
              <w:b/>
              <w:sz w:val="14"/>
              <w:szCs w:val="14"/>
              <w:lang w:val="de-DE"/>
            </w:rPr>
          </w:pPr>
          <w:proofErr w:type="spellStart"/>
          <w:r w:rsidRPr="00D1414F">
            <w:rPr>
              <w:b/>
              <w:sz w:val="14"/>
              <w:szCs w:val="14"/>
              <w:lang w:val="de-DE"/>
            </w:rPr>
            <w:t>Telefaks</w:t>
          </w:r>
          <w:proofErr w:type="spellEnd"/>
          <w:r w:rsidRPr="00D1414F">
            <w:rPr>
              <w:b/>
              <w:sz w:val="14"/>
              <w:szCs w:val="14"/>
              <w:lang w:val="de-DE"/>
            </w:rPr>
            <w:t xml:space="preserve">: </w:t>
          </w:r>
        </w:p>
        <w:p w:rsidR="00FF6C69" w:rsidRPr="00563472" w:rsidRDefault="00FF6C69" w:rsidP="00AF01A7">
          <w:pPr>
            <w:pStyle w:val="Bunntekst"/>
            <w:tabs>
              <w:tab w:val="left" w:pos="826"/>
            </w:tabs>
            <w:rPr>
              <w:sz w:val="16"/>
              <w:szCs w:val="16"/>
            </w:rPr>
          </w:pPr>
          <w:r w:rsidRPr="00563472">
            <w:rPr>
              <w:sz w:val="16"/>
              <w:szCs w:val="16"/>
              <w:lang w:val="de-DE"/>
            </w:rPr>
            <w:t>+47 23 30 12 99</w:t>
          </w:r>
        </w:p>
      </w:tc>
      <w:tc>
        <w:tcPr>
          <w:tcW w:w="2815" w:type="dxa"/>
        </w:tcPr>
        <w:p w:rsidR="00FF6C69" w:rsidRPr="00D1414F" w:rsidRDefault="00FF6C69" w:rsidP="00AF01A7">
          <w:pPr>
            <w:pStyle w:val="Bunntekst"/>
            <w:tabs>
              <w:tab w:val="left" w:pos="713"/>
            </w:tabs>
            <w:rPr>
              <w:b/>
              <w:sz w:val="14"/>
              <w:szCs w:val="14"/>
              <w:lang w:val="it-IT"/>
            </w:rPr>
          </w:pPr>
          <w:r w:rsidRPr="00D1414F">
            <w:rPr>
              <w:b/>
              <w:sz w:val="14"/>
              <w:szCs w:val="14"/>
              <w:lang w:val="it-IT"/>
            </w:rPr>
            <w:t>Internett:</w:t>
          </w:r>
        </w:p>
        <w:p w:rsidR="00FF6C69" w:rsidRPr="00563472" w:rsidRDefault="00FF6C69" w:rsidP="00AF01A7">
          <w:pPr>
            <w:pStyle w:val="Bunntekst"/>
            <w:tabs>
              <w:tab w:val="left" w:pos="713"/>
            </w:tabs>
            <w:rPr>
              <w:sz w:val="16"/>
              <w:szCs w:val="16"/>
            </w:rPr>
          </w:pPr>
          <w:r w:rsidRPr="00563472">
            <w:rPr>
              <w:sz w:val="16"/>
              <w:szCs w:val="16"/>
              <w:lang w:val="it-IT"/>
            </w:rPr>
            <w:t>www.utdanningsdirektoratet.no</w:t>
          </w:r>
        </w:p>
      </w:tc>
      <w:tc>
        <w:tcPr>
          <w:tcW w:w="2056" w:type="dxa"/>
        </w:tcPr>
        <w:p w:rsidR="00FF6C69" w:rsidRPr="00D1414F" w:rsidRDefault="00FF6C69" w:rsidP="00AF01A7">
          <w:pPr>
            <w:pStyle w:val="Bunntekst"/>
            <w:tabs>
              <w:tab w:val="left" w:pos="726"/>
            </w:tabs>
            <w:rPr>
              <w:b/>
              <w:sz w:val="14"/>
              <w:szCs w:val="14"/>
              <w:lang w:val="it-IT"/>
            </w:rPr>
          </w:pPr>
          <w:r w:rsidRPr="00D1414F">
            <w:rPr>
              <w:b/>
              <w:sz w:val="14"/>
              <w:szCs w:val="14"/>
              <w:lang w:val="it-IT"/>
            </w:rPr>
            <w:t>Org.nr.:</w:t>
          </w:r>
        </w:p>
        <w:p w:rsidR="00FF6C69" w:rsidRPr="00563472" w:rsidRDefault="009E392D" w:rsidP="00AF01A7">
          <w:pPr>
            <w:pStyle w:val="Bunntekst"/>
            <w:tabs>
              <w:tab w:val="left" w:pos="713"/>
            </w:tabs>
            <w:rPr>
              <w:sz w:val="16"/>
              <w:szCs w:val="16"/>
            </w:rPr>
          </w:pPr>
          <w:r>
            <w:rPr>
              <w:sz w:val="16"/>
              <w:szCs w:val="16"/>
              <w:lang w:val="it-IT"/>
            </w:rPr>
            <w:t>NO 970 018 131</w:t>
          </w:r>
        </w:p>
      </w:tc>
    </w:tr>
  </w:tbl>
  <w:p w:rsidR="00FF6C69" w:rsidRPr="00D1414F" w:rsidRDefault="00FF6C69">
    <w:pPr>
      <w:pStyle w:val="Bunnteks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A46" w:rsidRDefault="008A6A46" w:rsidP="00AB0E95">
      <w:r>
        <w:separator/>
      </w:r>
    </w:p>
  </w:footnote>
  <w:footnote w:type="continuationSeparator" w:id="0">
    <w:p w:rsidR="008A6A46" w:rsidRDefault="008A6A46" w:rsidP="00AB0E95">
      <w:r>
        <w:continuationSeparator/>
      </w:r>
    </w:p>
  </w:footnote>
  <w:footnote w:id="1">
    <w:p w:rsidR="009B6E8E" w:rsidRDefault="009B6E8E">
      <w:pPr>
        <w:pStyle w:val="Fotnotetekst"/>
      </w:pPr>
      <w:r>
        <w:rPr>
          <w:rStyle w:val="Fotnotereferanse"/>
        </w:rPr>
        <w:footnoteRef/>
      </w:r>
      <w:r>
        <w:t xml:space="preserve"> </w:t>
      </w:r>
      <w:r w:rsidR="003D4950">
        <w:rPr>
          <w:sz w:val="16"/>
          <w:szCs w:val="16"/>
        </w:rPr>
        <w:t xml:space="preserve">ACVT: </w:t>
      </w:r>
      <w:r w:rsidRPr="009B6E8E">
        <w:rPr>
          <w:sz w:val="16"/>
          <w:szCs w:val="16"/>
        </w:rPr>
        <w:t>part</w:t>
      </w:r>
      <w:r w:rsidR="00245274">
        <w:rPr>
          <w:sz w:val="16"/>
          <w:szCs w:val="16"/>
        </w:rPr>
        <w:t>s</w:t>
      </w:r>
      <w:r w:rsidRPr="009B6E8E">
        <w:rPr>
          <w:sz w:val="16"/>
          <w:szCs w:val="16"/>
        </w:rPr>
        <w:t>sammensatt organ som i tråd med en rådsbeslutning fra 1968 gi</w:t>
      </w:r>
      <w:r w:rsidR="003D4950">
        <w:rPr>
          <w:sz w:val="16"/>
          <w:szCs w:val="16"/>
        </w:rPr>
        <w:t xml:space="preserve">r råd til EU-kommisjonen </w:t>
      </w:r>
      <w:r w:rsidRPr="009B6E8E">
        <w:rPr>
          <w:sz w:val="16"/>
          <w:szCs w:val="16"/>
        </w:rPr>
        <w:t xml:space="preserve">i saker som angår </w:t>
      </w:r>
      <w:r w:rsidR="005D5F50">
        <w:rPr>
          <w:sz w:val="16"/>
          <w:szCs w:val="16"/>
        </w:rPr>
        <w:t>Vocatio</w:t>
      </w:r>
      <w:r w:rsidR="003D4950">
        <w:rPr>
          <w:sz w:val="16"/>
          <w:szCs w:val="16"/>
        </w:rPr>
        <w:t>nal Education and Training.</w:t>
      </w:r>
    </w:p>
  </w:footnote>
  <w:footnote w:id="2">
    <w:p w:rsidR="00A32AD5" w:rsidRPr="00A32AD5" w:rsidRDefault="00A32AD5">
      <w:pPr>
        <w:pStyle w:val="Fotnotetekst"/>
        <w:rPr>
          <w:sz w:val="16"/>
          <w:szCs w:val="16"/>
        </w:rPr>
      </w:pPr>
      <w:r>
        <w:rPr>
          <w:rStyle w:val="Fotnotereferanse"/>
        </w:rPr>
        <w:footnoteRef/>
      </w:r>
      <w:r>
        <w:t xml:space="preserve"> </w:t>
      </w:r>
      <w:r w:rsidRPr="00A32AD5">
        <w:rPr>
          <w:sz w:val="16"/>
          <w:szCs w:val="16"/>
        </w:rPr>
        <w:t xml:space="preserve">Diskusjon av prioriteringer i formøtet ble vanskelig grunnet </w:t>
      </w:r>
      <w:r w:rsidR="003D4950">
        <w:rPr>
          <w:sz w:val="16"/>
          <w:szCs w:val="16"/>
        </w:rPr>
        <w:t xml:space="preserve">innspill fra </w:t>
      </w:r>
      <w:r w:rsidRPr="00A32AD5">
        <w:rPr>
          <w:sz w:val="16"/>
          <w:szCs w:val="16"/>
        </w:rPr>
        <w:t xml:space="preserve">landene </w:t>
      </w:r>
      <w:r w:rsidR="003D4950">
        <w:rPr>
          <w:sz w:val="16"/>
          <w:szCs w:val="16"/>
        </w:rPr>
        <w:t xml:space="preserve">sendt KOM </w:t>
      </w:r>
      <w:r w:rsidRPr="00A32AD5">
        <w:rPr>
          <w:sz w:val="16"/>
          <w:szCs w:val="16"/>
        </w:rPr>
        <w:t xml:space="preserve">knyttet til Brugges nye kortsiktige leveranser (STDs) ikke </w:t>
      </w:r>
      <w:r w:rsidR="003D4950">
        <w:rPr>
          <w:sz w:val="16"/>
          <w:szCs w:val="16"/>
        </w:rPr>
        <w:t xml:space="preserve">var </w:t>
      </w:r>
      <w:r w:rsidRPr="00A32AD5">
        <w:rPr>
          <w:sz w:val="16"/>
          <w:szCs w:val="16"/>
        </w:rPr>
        <w:t xml:space="preserve">oppsummert til møtet, mange påpekte også at det manglet oppsummering fra møtet i Education Committee i Athen, samt at interimrapporten fra </w:t>
      </w:r>
      <w:proofErr w:type="spellStart"/>
      <w:r w:rsidRPr="00A32AD5">
        <w:rPr>
          <w:sz w:val="16"/>
          <w:szCs w:val="16"/>
        </w:rPr>
        <w:t>Cedefop</w:t>
      </w:r>
      <w:proofErr w:type="spellEnd"/>
      <w:r w:rsidRPr="00A32AD5">
        <w:rPr>
          <w:sz w:val="16"/>
          <w:szCs w:val="16"/>
        </w:rPr>
        <w:t xml:space="preserve"> ikke var tilgjengelig ved deadline for input fra landene til Brugge </w:t>
      </w:r>
      <w:proofErr w:type="spellStart"/>
      <w:r w:rsidRPr="00A32AD5">
        <w:rPr>
          <w:sz w:val="16"/>
          <w:szCs w:val="16"/>
        </w:rPr>
        <w:t>review</w:t>
      </w:r>
      <w:proofErr w:type="spellEnd"/>
      <w:r w:rsidRPr="00A32AD5">
        <w:rPr>
          <w:sz w:val="16"/>
          <w:szCs w:val="16"/>
        </w:rPr>
        <w:t xml:space="preserve"> 2015.</w:t>
      </w:r>
    </w:p>
  </w:footnote>
  <w:footnote w:id="3">
    <w:p w:rsidR="007A35C4" w:rsidRPr="007A35C4" w:rsidRDefault="007A35C4" w:rsidP="007A35C4">
      <w:pPr>
        <w:pStyle w:val="Fotnotetekst"/>
        <w:rPr>
          <w:sz w:val="16"/>
          <w:szCs w:val="16"/>
        </w:rPr>
      </w:pPr>
      <w:r>
        <w:rPr>
          <w:rStyle w:val="Fotnotereferanse"/>
        </w:rPr>
        <w:footnoteRef/>
      </w:r>
      <w:r>
        <w:t xml:space="preserve"> </w:t>
      </w:r>
      <w:r w:rsidRPr="007A35C4">
        <w:rPr>
          <w:sz w:val="16"/>
          <w:szCs w:val="16"/>
        </w:rPr>
        <w:t xml:space="preserve">Brugge </w:t>
      </w:r>
      <w:proofErr w:type="spellStart"/>
      <w:r w:rsidRPr="007A35C4">
        <w:rPr>
          <w:sz w:val="16"/>
          <w:szCs w:val="16"/>
        </w:rPr>
        <w:t>review</w:t>
      </w:r>
      <w:proofErr w:type="spellEnd"/>
      <w:r w:rsidRPr="007A35C4">
        <w:rPr>
          <w:sz w:val="16"/>
          <w:szCs w:val="16"/>
        </w:rPr>
        <w:t xml:space="preserve"> 2015</w:t>
      </w:r>
      <w:r w:rsidR="003D4950">
        <w:rPr>
          <w:sz w:val="16"/>
          <w:szCs w:val="16"/>
        </w:rPr>
        <w:t>:</w:t>
      </w:r>
      <w:r w:rsidRPr="007A35C4">
        <w:rPr>
          <w:sz w:val="16"/>
          <w:szCs w:val="16"/>
        </w:rPr>
        <w:t xml:space="preserve"> Del 1</w:t>
      </w:r>
      <w:r>
        <w:rPr>
          <w:sz w:val="16"/>
          <w:szCs w:val="16"/>
        </w:rPr>
        <w:t>:</w:t>
      </w:r>
      <w:r w:rsidRPr="007A35C4">
        <w:rPr>
          <w:sz w:val="16"/>
          <w:szCs w:val="16"/>
        </w:rPr>
        <w:t xml:space="preserve"> </w:t>
      </w:r>
      <w:proofErr w:type="spellStart"/>
      <w:r w:rsidRPr="007A35C4">
        <w:rPr>
          <w:sz w:val="16"/>
          <w:szCs w:val="16"/>
        </w:rPr>
        <w:t>Refernet</w:t>
      </w:r>
      <w:proofErr w:type="spellEnd"/>
      <w:r w:rsidRPr="007A35C4">
        <w:rPr>
          <w:sz w:val="16"/>
          <w:szCs w:val="16"/>
        </w:rPr>
        <w:t xml:space="preserve"> policy rapport 2014 sammen med intervjuer av ACVT- og DGVET-representant skal gi input til statusen i nasjonale VET reformer siden 2010(utført des. 2013/jan 2014). </w:t>
      </w:r>
      <w:proofErr w:type="spellStart"/>
      <w:r w:rsidRPr="007A35C4">
        <w:rPr>
          <w:sz w:val="16"/>
          <w:szCs w:val="16"/>
        </w:rPr>
        <w:t>Cedefop</w:t>
      </w:r>
      <w:proofErr w:type="spellEnd"/>
      <w:r w:rsidRPr="007A35C4">
        <w:rPr>
          <w:sz w:val="16"/>
          <w:szCs w:val="16"/>
        </w:rPr>
        <w:t xml:space="preserve"> </w:t>
      </w:r>
      <w:r w:rsidR="003D4950">
        <w:rPr>
          <w:sz w:val="16"/>
          <w:szCs w:val="16"/>
        </w:rPr>
        <w:t>lager</w:t>
      </w:r>
      <w:r w:rsidRPr="007A35C4">
        <w:rPr>
          <w:sz w:val="16"/>
          <w:szCs w:val="16"/>
        </w:rPr>
        <w:t xml:space="preserve"> policy </w:t>
      </w:r>
      <w:proofErr w:type="spellStart"/>
      <w:r w:rsidRPr="007A35C4">
        <w:rPr>
          <w:sz w:val="16"/>
          <w:szCs w:val="16"/>
        </w:rPr>
        <w:t>monitoreringsrapport</w:t>
      </w:r>
      <w:proofErr w:type="spellEnd"/>
      <w:r w:rsidRPr="007A35C4">
        <w:rPr>
          <w:sz w:val="16"/>
          <w:szCs w:val="16"/>
        </w:rPr>
        <w:t xml:space="preserve"> som skal publiseres i sept. 2014. Prosessen skal samkjøres med statusoppsummeringen ET2020 og fellesrapporten i 2015. Del 2</w:t>
      </w:r>
      <w:r>
        <w:rPr>
          <w:sz w:val="16"/>
          <w:szCs w:val="16"/>
        </w:rPr>
        <w:t>:</w:t>
      </w:r>
      <w:r w:rsidRPr="007A35C4">
        <w:rPr>
          <w:sz w:val="16"/>
          <w:szCs w:val="16"/>
        </w:rPr>
        <w:t xml:space="preserve"> policydebatter </w:t>
      </w:r>
      <w:r>
        <w:rPr>
          <w:sz w:val="16"/>
          <w:szCs w:val="16"/>
        </w:rPr>
        <w:t xml:space="preserve">der landene om </w:t>
      </w:r>
      <w:r w:rsidRPr="007A35C4">
        <w:rPr>
          <w:sz w:val="16"/>
          <w:szCs w:val="16"/>
        </w:rPr>
        <w:t>et nytt sett med kortsiktige leveranser for 2015-2017. (</w:t>
      </w:r>
      <w:r w:rsidR="003D4950">
        <w:rPr>
          <w:sz w:val="16"/>
          <w:szCs w:val="16"/>
        </w:rPr>
        <w:t xml:space="preserve">jf. </w:t>
      </w:r>
      <w:r w:rsidRPr="007A35C4">
        <w:rPr>
          <w:sz w:val="16"/>
          <w:szCs w:val="16"/>
        </w:rPr>
        <w:t>koordinert input med partene</w:t>
      </w:r>
      <w:r w:rsidR="003D4950">
        <w:rPr>
          <w:sz w:val="16"/>
          <w:szCs w:val="16"/>
        </w:rPr>
        <w:t>/KD</w:t>
      </w:r>
      <w:r w:rsidRPr="007A35C4">
        <w:rPr>
          <w:sz w:val="16"/>
          <w:szCs w:val="16"/>
        </w:rPr>
        <w:t xml:space="preserve"> sendt </w:t>
      </w:r>
      <w:r w:rsidR="003D4950">
        <w:rPr>
          <w:sz w:val="16"/>
          <w:szCs w:val="16"/>
        </w:rPr>
        <w:t>KOM</w:t>
      </w:r>
      <w:r w:rsidRPr="007A35C4">
        <w:rPr>
          <w:sz w:val="16"/>
          <w:szCs w:val="16"/>
        </w:rPr>
        <w:t xml:space="preserve"> mai 2014). </w:t>
      </w:r>
      <w:r w:rsidR="003D4950">
        <w:rPr>
          <w:sz w:val="16"/>
          <w:szCs w:val="16"/>
        </w:rPr>
        <w:t xml:space="preserve">Innspillene inngår som </w:t>
      </w:r>
      <w:r w:rsidRPr="007A35C4">
        <w:rPr>
          <w:sz w:val="16"/>
          <w:szCs w:val="16"/>
        </w:rPr>
        <w:t xml:space="preserve">del av </w:t>
      </w:r>
      <w:r w:rsidR="003D4950">
        <w:rPr>
          <w:sz w:val="16"/>
          <w:szCs w:val="16"/>
        </w:rPr>
        <w:t xml:space="preserve">fellesrapporten for 2015 og </w:t>
      </w:r>
      <w:r w:rsidRPr="007A35C4">
        <w:rPr>
          <w:sz w:val="16"/>
          <w:szCs w:val="16"/>
        </w:rPr>
        <w:t>inngå</w:t>
      </w:r>
      <w:r w:rsidR="003D4950">
        <w:rPr>
          <w:sz w:val="16"/>
          <w:szCs w:val="16"/>
        </w:rPr>
        <w:t>r</w:t>
      </w:r>
      <w:r w:rsidRPr="007A35C4">
        <w:rPr>
          <w:sz w:val="16"/>
          <w:szCs w:val="16"/>
        </w:rPr>
        <w:t xml:space="preserve"> i definisjon av prioriterte områder for alle E&amp;T-sektorer for 2015-2017 med et 2020 perspektiv.</w:t>
      </w:r>
      <w:r w:rsidR="003D4950">
        <w:rPr>
          <w:sz w:val="16"/>
          <w:szCs w:val="16"/>
        </w:rPr>
        <w:t xml:space="preserve"> </w:t>
      </w:r>
    </w:p>
  </w:footnote>
  <w:footnote w:id="4">
    <w:p w:rsidR="00D60858" w:rsidRPr="00D60858" w:rsidRDefault="00D60858">
      <w:pPr>
        <w:pStyle w:val="Fotnotetekst"/>
        <w:rPr>
          <w:sz w:val="16"/>
          <w:szCs w:val="16"/>
        </w:rPr>
      </w:pPr>
      <w:r>
        <w:rPr>
          <w:rStyle w:val="Fotnotereferanse"/>
        </w:rPr>
        <w:footnoteRef/>
      </w:r>
      <w:r>
        <w:t xml:space="preserve"> </w:t>
      </w:r>
      <w:r w:rsidR="003D4950">
        <w:rPr>
          <w:sz w:val="16"/>
          <w:szCs w:val="16"/>
        </w:rPr>
        <w:t>European Alliance for A</w:t>
      </w:r>
      <w:r w:rsidRPr="00D60858">
        <w:rPr>
          <w:sz w:val="16"/>
          <w:szCs w:val="16"/>
        </w:rPr>
        <w:t>pprenticeships</w:t>
      </w:r>
      <w:r>
        <w:rPr>
          <w:sz w:val="16"/>
          <w:szCs w:val="16"/>
        </w:rPr>
        <w:t xml:space="preserve">: </w:t>
      </w:r>
      <w:r w:rsidRPr="00D60858">
        <w:rPr>
          <w:sz w:val="16"/>
          <w:szCs w:val="16"/>
        </w:rPr>
        <w:t>Allianse</w:t>
      </w:r>
      <w:r>
        <w:rPr>
          <w:sz w:val="16"/>
          <w:szCs w:val="16"/>
        </w:rPr>
        <w:t>n mellom EU og landene</w:t>
      </w:r>
      <w:r w:rsidRPr="00D60858">
        <w:rPr>
          <w:sz w:val="16"/>
          <w:szCs w:val="16"/>
        </w:rPr>
        <w:t xml:space="preserve"> for å få opp antall lærlingeplasser i Europa </w:t>
      </w:r>
      <w:r>
        <w:rPr>
          <w:sz w:val="16"/>
          <w:szCs w:val="16"/>
        </w:rPr>
        <w:t>(</w:t>
      </w:r>
      <w:proofErr w:type="spellStart"/>
      <w:r>
        <w:rPr>
          <w:sz w:val="16"/>
          <w:szCs w:val="16"/>
        </w:rPr>
        <w:t>jf</w:t>
      </w:r>
      <w:proofErr w:type="spellEnd"/>
      <w:r>
        <w:rPr>
          <w:sz w:val="16"/>
          <w:szCs w:val="16"/>
        </w:rPr>
        <w:t xml:space="preserve"> tilsvarer </w:t>
      </w:r>
      <w:r w:rsidRPr="00D60858">
        <w:rPr>
          <w:sz w:val="16"/>
          <w:szCs w:val="16"/>
        </w:rPr>
        <w:t>samfunnskontrakten</w:t>
      </w:r>
      <w:r>
        <w:rPr>
          <w:sz w:val="16"/>
          <w:szCs w:val="16"/>
        </w:rPr>
        <w:t>)</w:t>
      </w:r>
      <w:r w:rsidRPr="00D60858">
        <w:rPr>
          <w:sz w:val="16"/>
          <w:szCs w:val="16"/>
        </w:rPr>
        <w:t>.</w:t>
      </w:r>
    </w:p>
  </w:footnote>
  <w:footnote w:id="5">
    <w:p w:rsidR="00273ED9" w:rsidRPr="001E3CA8" w:rsidRDefault="00273ED9">
      <w:pPr>
        <w:pStyle w:val="Fotnotetekst"/>
        <w:rPr>
          <w:sz w:val="16"/>
          <w:szCs w:val="16"/>
        </w:rPr>
      </w:pPr>
      <w:r>
        <w:rPr>
          <w:rStyle w:val="Fotnotereferanse"/>
        </w:rPr>
        <w:footnoteRef/>
      </w:r>
      <w:r>
        <w:t xml:space="preserve"> </w:t>
      </w:r>
      <w:proofErr w:type="spellStart"/>
      <w:r w:rsidRPr="001E3CA8">
        <w:rPr>
          <w:sz w:val="16"/>
          <w:szCs w:val="16"/>
        </w:rPr>
        <w:t>Jf</w:t>
      </w:r>
      <w:proofErr w:type="spellEnd"/>
      <w:r w:rsidRPr="001E3CA8">
        <w:rPr>
          <w:sz w:val="16"/>
          <w:szCs w:val="16"/>
        </w:rPr>
        <w:t xml:space="preserve"> EUs definisjon av VET som også omfatter fag- og yrkesopplæring (IVET) </w:t>
      </w:r>
      <w:r w:rsidR="001E3CA8">
        <w:rPr>
          <w:sz w:val="16"/>
          <w:szCs w:val="16"/>
        </w:rPr>
        <w:t xml:space="preserve">samt CVET </w:t>
      </w:r>
      <w:r w:rsidRPr="001E3CA8">
        <w:rPr>
          <w:sz w:val="16"/>
          <w:szCs w:val="16"/>
        </w:rPr>
        <w:t xml:space="preserve">dvs. </w:t>
      </w:r>
      <w:r w:rsidR="001E3CA8">
        <w:rPr>
          <w:sz w:val="16"/>
          <w:szCs w:val="16"/>
        </w:rPr>
        <w:t xml:space="preserve">i Norge tilsvarende yrkesutdanning på ISCED 5 og </w:t>
      </w:r>
      <w:proofErr w:type="gramStart"/>
      <w:r w:rsidR="001E3CA8">
        <w:rPr>
          <w:sz w:val="16"/>
          <w:szCs w:val="16"/>
        </w:rPr>
        <w:t>6.  samt</w:t>
      </w:r>
      <w:proofErr w:type="gramEnd"/>
      <w:r w:rsidR="001E3CA8">
        <w:rPr>
          <w:sz w:val="16"/>
          <w:szCs w:val="16"/>
        </w:rPr>
        <w:t xml:space="preserve"> voksne, arbeidsmarkedsopplæring, etc.</w:t>
      </w:r>
    </w:p>
  </w:footnote>
  <w:footnote w:id="6">
    <w:p w:rsidR="001E3CA8" w:rsidRPr="001E3CA8" w:rsidRDefault="001E3CA8">
      <w:pPr>
        <w:pStyle w:val="Fotnotetekst"/>
        <w:rPr>
          <w:sz w:val="16"/>
          <w:szCs w:val="16"/>
        </w:rPr>
      </w:pPr>
      <w:r w:rsidRPr="001E3CA8">
        <w:rPr>
          <w:rStyle w:val="Fotnotereferanse"/>
          <w:sz w:val="16"/>
          <w:szCs w:val="16"/>
        </w:rPr>
        <w:footnoteRef/>
      </w:r>
      <w:r w:rsidRPr="001E3CA8">
        <w:rPr>
          <w:sz w:val="16"/>
          <w:szCs w:val="16"/>
        </w:rPr>
        <w:t xml:space="preserve"> ECVET virker når det gjelder mobilitetsavtaler mellom universiteter, men erfaringene viser at kredittpoeng virker ikke, en rekke land gav innspill om at dette bør endres.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enett"/>
      <w:tblW w:w="992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5000"/>
    </w:tblGrid>
    <w:tr w:rsidR="00DB1BAF" w:rsidTr="00DB1BAF">
      <w:tc>
        <w:tcPr>
          <w:tcW w:w="4924" w:type="dxa"/>
        </w:tcPr>
        <w:p w:rsidR="00DB1BAF" w:rsidRDefault="00DB1BAF">
          <w:pPr>
            <w:pStyle w:val="Topptekst"/>
          </w:pPr>
          <w:r w:rsidRPr="00DB1BAF">
            <w:rPr>
              <w:noProof/>
              <w:lang w:eastAsia="nb-NO"/>
            </w:rPr>
            <w:drawing>
              <wp:inline distT="0" distB="0" distL="0" distR="0" wp14:anchorId="42FFC5F3" wp14:editId="6959DC88">
                <wp:extent cx="2125345" cy="311150"/>
                <wp:effectExtent l="19050" t="0" r="8255" b="0"/>
                <wp:docPr id="3" name="Bilde 2" descr="Udir_Logo_Hori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ir_Logo_Horis_Black"/>
                        <pic:cNvPicPr>
                          <a:picLocks noChangeAspect="1" noChangeArrowheads="1"/>
                        </pic:cNvPicPr>
                      </pic:nvPicPr>
                      <pic:blipFill>
                        <a:blip r:embed="rId1"/>
                        <a:srcRect/>
                        <a:stretch>
                          <a:fillRect/>
                        </a:stretch>
                      </pic:blipFill>
                      <pic:spPr bwMode="auto">
                        <a:xfrm>
                          <a:off x="0" y="0"/>
                          <a:ext cx="2125345" cy="311150"/>
                        </a:xfrm>
                        <a:prstGeom prst="rect">
                          <a:avLst/>
                        </a:prstGeom>
                        <a:noFill/>
                        <a:ln w="9525">
                          <a:noFill/>
                          <a:miter lim="800000"/>
                          <a:headEnd/>
                          <a:tailEnd/>
                        </a:ln>
                      </pic:spPr>
                    </pic:pic>
                  </a:graphicData>
                </a:graphic>
              </wp:inline>
            </w:drawing>
          </w:r>
        </w:p>
        <w:p w:rsidR="00DB1BAF" w:rsidRDefault="00DB1BAF">
          <w:pPr>
            <w:pStyle w:val="Topptekst"/>
          </w:pPr>
        </w:p>
      </w:tc>
      <w:tc>
        <w:tcPr>
          <w:tcW w:w="5000" w:type="dxa"/>
        </w:tcPr>
        <w:p w:rsidR="00DB1BAF" w:rsidRPr="00DB1BAF" w:rsidRDefault="00DB1BAF" w:rsidP="00DB1BAF">
          <w:pPr>
            <w:pStyle w:val="Topptekst"/>
            <w:jc w:val="right"/>
            <w:rPr>
              <w:sz w:val="16"/>
              <w:szCs w:val="16"/>
            </w:rPr>
          </w:pPr>
          <w:r w:rsidRPr="00DB1BAF">
            <w:rPr>
              <w:sz w:val="16"/>
              <w:szCs w:val="16"/>
            </w:rPr>
            <w:t xml:space="preserve">Side </w:t>
          </w:r>
          <w:r w:rsidR="007D0535" w:rsidRPr="00DB1BAF">
            <w:rPr>
              <w:sz w:val="16"/>
              <w:szCs w:val="16"/>
            </w:rPr>
            <w:fldChar w:fldCharType="begin"/>
          </w:r>
          <w:r w:rsidRPr="00DB1BAF">
            <w:rPr>
              <w:sz w:val="16"/>
              <w:szCs w:val="16"/>
            </w:rPr>
            <w:instrText xml:space="preserve"> PAGE   \* MERGEFORMAT </w:instrText>
          </w:r>
          <w:r w:rsidR="007D0535" w:rsidRPr="00DB1BAF">
            <w:rPr>
              <w:sz w:val="16"/>
              <w:szCs w:val="16"/>
            </w:rPr>
            <w:fldChar w:fldCharType="separate"/>
          </w:r>
          <w:r w:rsidR="00356C86">
            <w:rPr>
              <w:noProof/>
              <w:sz w:val="16"/>
              <w:szCs w:val="16"/>
            </w:rPr>
            <w:t>3</w:t>
          </w:r>
          <w:r w:rsidR="007D0535" w:rsidRPr="00DB1BAF">
            <w:rPr>
              <w:sz w:val="16"/>
              <w:szCs w:val="16"/>
            </w:rPr>
            <w:fldChar w:fldCharType="end"/>
          </w:r>
          <w:r w:rsidRPr="00DB1BAF">
            <w:rPr>
              <w:sz w:val="16"/>
              <w:szCs w:val="16"/>
            </w:rPr>
            <w:t xml:space="preserve"> av </w:t>
          </w:r>
          <w:r w:rsidR="007D0535" w:rsidRPr="00DB1BAF">
            <w:rPr>
              <w:sz w:val="16"/>
              <w:szCs w:val="16"/>
            </w:rPr>
            <w:fldChar w:fldCharType="begin"/>
          </w:r>
          <w:r w:rsidRPr="00DB1BAF">
            <w:rPr>
              <w:sz w:val="16"/>
              <w:szCs w:val="16"/>
            </w:rPr>
            <w:instrText xml:space="preserve"> NUMPAGES </w:instrText>
          </w:r>
          <w:r w:rsidR="007D0535" w:rsidRPr="00DB1BAF">
            <w:rPr>
              <w:sz w:val="16"/>
              <w:szCs w:val="16"/>
            </w:rPr>
            <w:fldChar w:fldCharType="separate"/>
          </w:r>
          <w:r w:rsidR="00356C86">
            <w:rPr>
              <w:noProof/>
              <w:sz w:val="16"/>
              <w:szCs w:val="16"/>
            </w:rPr>
            <w:t>3</w:t>
          </w:r>
          <w:r w:rsidR="007D0535" w:rsidRPr="00DB1BAF">
            <w:rPr>
              <w:sz w:val="16"/>
              <w:szCs w:val="16"/>
            </w:rPr>
            <w:fldChar w:fldCharType="end"/>
          </w:r>
        </w:p>
      </w:tc>
    </w:tr>
  </w:tbl>
  <w:p w:rsidR="00DB1BAF" w:rsidRDefault="00DB1BAF">
    <w:pPr>
      <w:pStyle w:val="Topptekst"/>
    </w:pPr>
  </w:p>
  <w:p w:rsidR="00104313" w:rsidRDefault="00104313">
    <w:pPr>
      <w:pStyle w:val="Topptekst"/>
    </w:pPr>
  </w:p>
  <w:p w:rsidR="00104313" w:rsidRDefault="00104313">
    <w:pPr>
      <w:pStyle w:val="Topptekst"/>
    </w:pPr>
  </w:p>
  <w:p w:rsidR="00104313" w:rsidRDefault="00104313">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F5A39"/>
    <w:multiLevelType w:val="hybridMultilevel"/>
    <w:tmpl w:val="E9482EA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nsid w:val="13A136D7"/>
    <w:multiLevelType w:val="hybridMultilevel"/>
    <w:tmpl w:val="0A50DB0C"/>
    <w:lvl w:ilvl="0" w:tplc="7AE2A33E">
      <w:numFmt w:val="bullet"/>
      <w:lvlText w:val="-"/>
      <w:lvlJc w:val="left"/>
      <w:pPr>
        <w:ind w:left="720" w:hanging="360"/>
      </w:pPr>
      <w:rPr>
        <w:rFonts w:ascii="Verdana" w:eastAsiaTheme="minorHAnsi" w:hAnsi="Verdan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7B11B96"/>
    <w:multiLevelType w:val="hybridMultilevel"/>
    <w:tmpl w:val="34A2886C"/>
    <w:lvl w:ilvl="0" w:tplc="04140001">
      <w:start w:val="1"/>
      <w:numFmt w:val="bullet"/>
      <w:lvlText w:val=""/>
      <w:lvlJc w:val="left"/>
      <w:pPr>
        <w:ind w:left="720" w:hanging="360"/>
      </w:pPr>
      <w:rPr>
        <w:rFonts w:ascii="Symbol" w:hAnsi="Symbol" w:hint="default"/>
      </w:rPr>
    </w:lvl>
    <w:lvl w:ilvl="1" w:tplc="9CAC0F42">
      <w:numFmt w:val="bullet"/>
      <w:lvlText w:val="•"/>
      <w:lvlJc w:val="left"/>
      <w:pPr>
        <w:ind w:left="1440" w:hanging="360"/>
      </w:pPr>
      <w:rPr>
        <w:rFonts w:ascii="Verdana" w:eastAsiaTheme="minorHAnsi" w:hAnsi="Verdana" w:cstheme="minorBid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EC4773F"/>
    <w:multiLevelType w:val="hybridMultilevel"/>
    <w:tmpl w:val="0F78DD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B2C697D"/>
    <w:multiLevelType w:val="hybridMultilevel"/>
    <w:tmpl w:val="51604F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73DC0CD0"/>
    <w:multiLevelType w:val="hybridMultilevel"/>
    <w:tmpl w:val="75C0D8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74890301"/>
    <w:multiLevelType w:val="hybridMultilevel"/>
    <w:tmpl w:val="C94C13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oNotDisplayPageBoundaries/>
  <w:proofState w:spelling="clean" w:grammar="clean"/>
  <w:defaultTabStop w:val="708"/>
  <w:hyphenationZone w:val="425"/>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9E"/>
    <w:rsid w:val="000122CF"/>
    <w:rsid w:val="0001348B"/>
    <w:rsid w:val="00017D0B"/>
    <w:rsid w:val="00086275"/>
    <w:rsid w:val="000D36AC"/>
    <w:rsid w:val="000D444B"/>
    <w:rsid w:val="000E1460"/>
    <w:rsid w:val="000F73BD"/>
    <w:rsid w:val="000F79CB"/>
    <w:rsid w:val="00104313"/>
    <w:rsid w:val="00117EF1"/>
    <w:rsid w:val="0012396C"/>
    <w:rsid w:val="00131225"/>
    <w:rsid w:val="001E3CA8"/>
    <w:rsid w:val="001F0F31"/>
    <w:rsid w:val="00245274"/>
    <w:rsid w:val="00245677"/>
    <w:rsid w:val="002468B3"/>
    <w:rsid w:val="00273ED9"/>
    <w:rsid w:val="002C6EF6"/>
    <w:rsid w:val="002D40EE"/>
    <w:rsid w:val="002D77DD"/>
    <w:rsid w:val="0032190A"/>
    <w:rsid w:val="003476F9"/>
    <w:rsid w:val="00356C86"/>
    <w:rsid w:val="003D0A82"/>
    <w:rsid w:val="003D4950"/>
    <w:rsid w:val="003F3B06"/>
    <w:rsid w:val="00414AF1"/>
    <w:rsid w:val="004362DB"/>
    <w:rsid w:val="00441F03"/>
    <w:rsid w:val="0044544D"/>
    <w:rsid w:val="00481721"/>
    <w:rsid w:val="004D3AE3"/>
    <w:rsid w:val="004F7C71"/>
    <w:rsid w:val="00515518"/>
    <w:rsid w:val="00556DA0"/>
    <w:rsid w:val="00563472"/>
    <w:rsid w:val="00584E91"/>
    <w:rsid w:val="005B2A8D"/>
    <w:rsid w:val="005D5E02"/>
    <w:rsid w:val="005D5F50"/>
    <w:rsid w:val="005E3BB7"/>
    <w:rsid w:val="005E5203"/>
    <w:rsid w:val="00642F7D"/>
    <w:rsid w:val="00644657"/>
    <w:rsid w:val="00670A87"/>
    <w:rsid w:val="0069763A"/>
    <w:rsid w:val="00706DC2"/>
    <w:rsid w:val="00715FA5"/>
    <w:rsid w:val="00750A59"/>
    <w:rsid w:val="00767ECB"/>
    <w:rsid w:val="007A35C4"/>
    <w:rsid w:val="007D0535"/>
    <w:rsid w:val="007D1516"/>
    <w:rsid w:val="007D4E0D"/>
    <w:rsid w:val="007E35B9"/>
    <w:rsid w:val="007E5F14"/>
    <w:rsid w:val="00833974"/>
    <w:rsid w:val="008650BC"/>
    <w:rsid w:val="00870C77"/>
    <w:rsid w:val="00890E1B"/>
    <w:rsid w:val="00896928"/>
    <w:rsid w:val="008A4714"/>
    <w:rsid w:val="008A6A46"/>
    <w:rsid w:val="008B7B47"/>
    <w:rsid w:val="008C12FE"/>
    <w:rsid w:val="008D1E89"/>
    <w:rsid w:val="008E215E"/>
    <w:rsid w:val="008E3087"/>
    <w:rsid w:val="008E50A4"/>
    <w:rsid w:val="00922301"/>
    <w:rsid w:val="009741D4"/>
    <w:rsid w:val="00981525"/>
    <w:rsid w:val="0098369D"/>
    <w:rsid w:val="009B33BD"/>
    <w:rsid w:val="009B6E8E"/>
    <w:rsid w:val="009E392D"/>
    <w:rsid w:val="009E6C82"/>
    <w:rsid w:val="00A32AD5"/>
    <w:rsid w:val="00A47925"/>
    <w:rsid w:val="00AA7DF6"/>
    <w:rsid w:val="00AB0E95"/>
    <w:rsid w:val="00AE0B70"/>
    <w:rsid w:val="00AE1187"/>
    <w:rsid w:val="00B047BD"/>
    <w:rsid w:val="00B12AFF"/>
    <w:rsid w:val="00B12D21"/>
    <w:rsid w:val="00B35BAC"/>
    <w:rsid w:val="00B3740F"/>
    <w:rsid w:val="00BA076F"/>
    <w:rsid w:val="00BC1EE9"/>
    <w:rsid w:val="00BC2DCD"/>
    <w:rsid w:val="00BE4393"/>
    <w:rsid w:val="00BF6362"/>
    <w:rsid w:val="00C12D80"/>
    <w:rsid w:val="00C30583"/>
    <w:rsid w:val="00C77C82"/>
    <w:rsid w:val="00C822E9"/>
    <w:rsid w:val="00CC2338"/>
    <w:rsid w:val="00CC26C6"/>
    <w:rsid w:val="00D0523F"/>
    <w:rsid w:val="00D076B6"/>
    <w:rsid w:val="00D115FC"/>
    <w:rsid w:val="00D1414F"/>
    <w:rsid w:val="00D177B0"/>
    <w:rsid w:val="00D60858"/>
    <w:rsid w:val="00D75F03"/>
    <w:rsid w:val="00D81BC2"/>
    <w:rsid w:val="00D929CF"/>
    <w:rsid w:val="00DB1BAF"/>
    <w:rsid w:val="00E06AA2"/>
    <w:rsid w:val="00E7021D"/>
    <w:rsid w:val="00E75A39"/>
    <w:rsid w:val="00ED327C"/>
    <w:rsid w:val="00ED5B5F"/>
    <w:rsid w:val="00EE02DB"/>
    <w:rsid w:val="00EF0F21"/>
    <w:rsid w:val="00EF5CA1"/>
    <w:rsid w:val="00F51480"/>
    <w:rsid w:val="00F82FA2"/>
    <w:rsid w:val="00F96E87"/>
    <w:rsid w:val="00FE0718"/>
    <w:rsid w:val="00FE179E"/>
    <w:rsid w:val="00FE6C4D"/>
    <w:rsid w:val="00FF42F4"/>
    <w:rsid w:val="00FF51F6"/>
    <w:rsid w:val="00FF6C6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2FE"/>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rsid w:val="00AE0B7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bletekst">
    <w:name w:val="Balloon Text"/>
    <w:basedOn w:val="Normal"/>
    <w:link w:val="BobletekstTegn"/>
    <w:semiHidden/>
    <w:unhideWhenUsed/>
    <w:rsid w:val="00EF5CA1"/>
    <w:rPr>
      <w:rFonts w:ascii="Tahoma" w:hAnsi="Tahoma" w:cs="Tahoma"/>
      <w:sz w:val="16"/>
      <w:szCs w:val="16"/>
    </w:rPr>
  </w:style>
  <w:style w:type="character" w:customStyle="1" w:styleId="BobletekstTegn">
    <w:name w:val="Bobletekst Tegn"/>
    <w:basedOn w:val="Standardskriftforavsnitt"/>
    <w:link w:val="Bobletekst"/>
    <w:uiPriority w:val="99"/>
    <w:semiHidden/>
    <w:rsid w:val="00EF5CA1"/>
    <w:rPr>
      <w:rFonts w:ascii="Tahoma" w:hAnsi="Tahoma" w:cs="Tahoma"/>
      <w:sz w:val="16"/>
      <w:szCs w:val="16"/>
    </w:rPr>
  </w:style>
  <w:style w:type="paragraph" w:styleId="Topptekst">
    <w:name w:val="header"/>
    <w:basedOn w:val="Normal"/>
    <w:link w:val="TopptekstTegn"/>
    <w:uiPriority w:val="99"/>
    <w:unhideWhenUsed/>
    <w:rsid w:val="00AB0E95"/>
    <w:pPr>
      <w:tabs>
        <w:tab w:val="center" w:pos="4536"/>
        <w:tab w:val="right" w:pos="9072"/>
      </w:tabs>
    </w:pPr>
  </w:style>
  <w:style w:type="character" w:customStyle="1" w:styleId="TopptekstTegn">
    <w:name w:val="Topptekst Tegn"/>
    <w:basedOn w:val="Standardskriftforavsnitt"/>
    <w:link w:val="Topptekst"/>
    <w:uiPriority w:val="99"/>
    <w:rsid w:val="00AB0E95"/>
  </w:style>
  <w:style w:type="paragraph" w:styleId="Bunntekst">
    <w:name w:val="footer"/>
    <w:basedOn w:val="Normal"/>
    <w:link w:val="BunntekstTegn"/>
    <w:unhideWhenUsed/>
    <w:rsid w:val="00AB0E95"/>
    <w:pPr>
      <w:tabs>
        <w:tab w:val="center" w:pos="4536"/>
        <w:tab w:val="right" w:pos="9072"/>
      </w:tabs>
    </w:pPr>
  </w:style>
  <w:style w:type="character" w:customStyle="1" w:styleId="BunntekstTegn">
    <w:name w:val="Bunntekst Tegn"/>
    <w:basedOn w:val="Standardskriftforavsnitt"/>
    <w:link w:val="Bunntekst"/>
    <w:uiPriority w:val="99"/>
    <w:semiHidden/>
    <w:rsid w:val="00AB0E95"/>
  </w:style>
  <w:style w:type="paragraph" w:customStyle="1" w:styleId="overskrift">
    <w:name w:val="overskrift"/>
    <w:basedOn w:val="Normal"/>
    <w:rsid w:val="00D929CF"/>
    <w:pPr>
      <w:tabs>
        <w:tab w:val="left" w:pos="4537"/>
        <w:tab w:val="left" w:pos="6804"/>
      </w:tabs>
    </w:pPr>
    <w:rPr>
      <w:rFonts w:ascii="Times New Roman" w:eastAsia="Times New Roman" w:hAnsi="Times New Roman" w:cs="Times New Roman"/>
      <w:b/>
      <w:caps/>
      <w:sz w:val="24"/>
      <w:lang w:eastAsia="nb-NO"/>
    </w:rPr>
  </w:style>
  <w:style w:type="paragraph" w:styleId="Fotnotetekst">
    <w:name w:val="footnote text"/>
    <w:basedOn w:val="Normal"/>
    <w:link w:val="FotnotetekstTegn"/>
    <w:uiPriority w:val="99"/>
    <w:semiHidden/>
    <w:unhideWhenUsed/>
    <w:rsid w:val="009B6E8E"/>
  </w:style>
  <w:style w:type="character" w:customStyle="1" w:styleId="FotnotetekstTegn">
    <w:name w:val="Fotnotetekst Tegn"/>
    <w:basedOn w:val="Standardskriftforavsnitt"/>
    <w:link w:val="Fotnotetekst"/>
    <w:uiPriority w:val="99"/>
    <w:semiHidden/>
    <w:rsid w:val="009B6E8E"/>
  </w:style>
  <w:style w:type="character" w:styleId="Fotnotereferanse">
    <w:name w:val="footnote reference"/>
    <w:basedOn w:val="Standardskriftforavsnitt"/>
    <w:uiPriority w:val="99"/>
    <w:semiHidden/>
    <w:unhideWhenUsed/>
    <w:rsid w:val="009B6E8E"/>
    <w:rPr>
      <w:vertAlign w:val="superscript"/>
    </w:rPr>
  </w:style>
  <w:style w:type="paragraph" w:styleId="Listeavsnitt">
    <w:name w:val="List Paragraph"/>
    <w:basedOn w:val="Normal"/>
    <w:uiPriority w:val="34"/>
    <w:qFormat/>
    <w:rsid w:val="009B6E8E"/>
    <w:pPr>
      <w:ind w:left="720"/>
    </w:pPr>
    <w:rPr>
      <w:rFonts w:ascii="Calibri" w:eastAsia="Calibri" w:hAnsi="Calibri" w:cs="Times New Roman"/>
      <w:sz w:val="22"/>
      <w:szCs w:val="22"/>
      <w:lang w:eastAsia="nb-NO"/>
    </w:rPr>
  </w:style>
  <w:style w:type="character" w:styleId="Merknadsreferanse">
    <w:name w:val="annotation reference"/>
    <w:basedOn w:val="Standardskriftforavsnitt"/>
    <w:uiPriority w:val="99"/>
    <w:semiHidden/>
    <w:unhideWhenUsed/>
    <w:rsid w:val="005D5F50"/>
    <w:rPr>
      <w:sz w:val="16"/>
      <w:szCs w:val="16"/>
    </w:rPr>
  </w:style>
  <w:style w:type="paragraph" w:styleId="Merknadstekst">
    <w:name w:val="annotation text"/>
    <w:basedOn w:val="Normal"/>
    <w:link w:val="MerknadstekstTegn"/>
    <w:uiPriority w:val="99"/>
    <w:semiHidden/>
    <w:unhideWhenUsed/>
    <w:rsid w:val="005D5F50"/>
  </w:style>
  <w:style w:type="character" w:customStyle="1" w:styleId="MerknadstekstTegn">
    <w:name w:val="Merknadstekst Tegn"/>
    <w:basedOn w:val="Standardskriftforavsnitt"/>
    <w:link w:val="Merknadstekst"/>
    <w:uiPriority w:val="99"/>
    <w:semiHidden/>
    <w:rsid w:val="005D5F50"/>
  </w:style>
  <w:style w:type="paragraph" w:styleId="Kommentaremne">
    <w:name w:val="annotation subject"/>
    <w:basedOn w:val="Merknadstekst"/>
    <w:next w:val="Merknadstekst"/>
    <w:link w:val="KommentaremneTegn"/>
    <w:uiPriority w:val="99"/>
    <w:semiHidden/>
    <w:unhideWhenUsed/>
    <w:rsid w:val="005D5F50"/>
    <w:rPr>
      <w:b/>
      <w:bCs/>
    </w:rPr>
  </w:style>
  <w:style w:type="character" w:customStyle="1" w:styleId="KommentaremneTegn">
    <w:name w:val="Kommentaremne Tegn"/>
    <w:basedOn w:val="MerknadstekstTegn"/>
    <w:link w:val="Kommentaremne"/>
    <w:uiPriority w:val="99"/>
    <w:semiHidden/>
    <w:rsid w:val="005D5F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2FE"/>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rsid w:val="00AE0B7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bletekst">
    <w:name w:val="Balloon Text"/>
    <w:basedOn w:val="Normal"/>
    <w:link w:val="BobletekstTegn"/>
    <w:semiHidden/>
    <w:unhideWhenUsed/>
    <w:rsid w:val="00EF5CA1"/>
    <w:rPr>
      <w:rFonts w:ascii="Tahoma" w:hAnsi="Tahoma" w:cs="Tahoma"/>
      <w:sz w:val="16"/>
      <w:szCs w:val="16"/>
    </w:rPr>
  </w:style>
  <w:style w:type="character" w:customStyle="1" w:styleId="BobletekstTegn">
    <w:name w:val="Bobletekst Tegn"/>
    <w:basedOn w:val="Standardskriftforavsnitt"/>
    <w:link w:val="Bobletekst"/>
    <w:uiPriority w:val="99"/>
    <w:semiHidden/>
    <w:rsid w:val="00EF5CA1"/>
    <w:rPr>
      <w:rFonts w:ascii="Tahoma" w:hAnsi="Tahoma" w:cs="Tahoma"/>
      <w:sz w:val="16"/>
      <w:szCs w:val="16"/>
    </w:rPr>
  </w:style>
  <w:style w:type="paragraph" w:styleId="Topptekst">
    <w:name w:val="header"/>
    <w:basedOn w:val="Normal"/>
    <w:link w:val="TopptekstTegn"/>
    <w:uiPriority w:val="99"/>
    <w:unhideWhenUsed/>
    <w:rsid w:val="00AB0E95"/>
    <w:pPr>
      <w:tabs>
        <w:tab w:val="center" w:pos="4536"/>
        <w:tab w:val="right" w:pos="9072"/>
      </w:tabs>
    </w:pPr>
  </w:style>
  <w:style w:type="character" w:customStyle="1" w:styleId="TopptekstTegn">
    <w:name w:val="Topptekst Tegn"/>
    <w:basedOn w:val="Standardskriftforavsnitt"/>
    <w:link w:val="Topptekst"/>
    <w:uiPriority w:val="99"/>
    <w:rsid w:val="00AB0E95"/>
  </w:style>
  <w:style w:type="paragraph" w:styleId="Bunntekst">
    <w:name w:val="footer"/>
    <w:basedOn w:val="Normal"/>
    <w:link w:val="BunntekstTegn"/>
    <w:unhideWhenUsed/>
    <w:rsid w:val="00AB0E95"/>
    <w:pPr>
      <w:tabs>
        <w:tab w:val="center" w:pos="4536"/>
        <w:tab w:val="right" w:pos="9072"/>
      </w:tabs>
    </w:pPr>
  </w:style>
  <w:style w:type="character" w:customStyle="1" w:styleId="BunntekstTegn">
    <w:name w:val="Bunntekst Tegn"/>
    <w:basedOn w:val="Standardskriftforavsnitt"/>
    <w:link w:val="Bunntekst"/>
    <w:uiPriority w:val="99"/>
    <w:semiHidden/>
    <w:rsid w:val="00AB0E95"/>
  </w:style>
  <w:style w:type="paragraph" w:customStyle="1" w:styleId="overskrift">
    <w:name w:val="overskrift"/>
    <w:basedOn w:val="Normal"/>
    <w:rsid w:val="00D929CF"/>
    <w:pPr>
      <w:tabs>
        <w:tab w:val="left" w:pos="4537"/>
        <w:tab w:val="left" w:pos="6804"/>
      </w:tabs>
    </w:pPr>
    <w:rPr>
      <w:rFonts w:ascii="Times New Roman" w:eastAsia="Times New Roman" w:hAnsi="Times New Roman" w:cs="Times New Roman"/>
      <w:b/>
      <w:caps/>
      <w:sz w:val="24"/>
      <w:lang w:eastAsia="nb-NO"/>
    </w:rPr>
  </w:style>
  <w:style w:type="paragraph" w:styleId="Fotnotetekst">
    <w:name w:val="footnote text"/>
    <w:basedOn w:val="Normal"/>
    <w:link w:val="FotnotetekstTegn"/>
    <w:uiPriority w:val="99"/>
    <w:semiHidden/>
    <w:unhideWhenUsed/>
    <w:rsid w:val="009B6E8E"/>
  </w:style>
  <w:style w:type="character" w:customStyle="1" w:styleId="FotnotetekstTegn">
    <w:name w:val="Fotnotetekst Tegn"/>
    <w:basedOn w:val="Standardskriftforavsnitt"/>
    <w:link w:val="Fotnotetekst"/>
    <w:uiPriority w:val="99"/>
    <w:semiHidden/>
    <w:rsid w:val="009B6E8E"/>
  </w:style>
  <w:style w:type="character" w:styleId="Fotnotereferanse">
    <w:name w:val="footnote reference"/>
    <w:basedOn w:val="Standardskriftforavsnitt"/>
    <w:uiPriority w:val="99"/>
    <w:semiHidden/>
    <w:unhideWhenUsed/>
    <w:rsid w:val="009B6E8E"/>
    <w:rPr>
      <w:vertAlign w:val="superscript"/>
    </w:rPr>
  </w:style>
  <w:style w:type="paragraph" w:styleId="Listeavsnitt">
    <w:name w:val="List Paragraph"/>
    <w:basedOn w:val="Normal"/>
    <w:uiPriority w:val="34"/>
    <w:qFormat/>
    <w:rsid w:val="009B6E8E"/>
    <w:pPr>
      <w:ind w:left="720"/>
    </w:pPr>
    <w:rPr>
      <w:rFonts w:ascii="Calibri" w:eastAsia="Calibri" w:hAnsi="Calibri" w:cs="Times New Roman"/>
      <w:sz w:val="22"/>
      <w:szCs w:val="22"/>
      <w:lang w:eastAsia="nb-NO"/>
    </w:rPr>
  </w:style>
  <w:style w:type="character" w:styleId="Merknadsreferanse">
    <w:name w:val="annotation reference"/>
    <w:basedOn w:val="Standardskriftforavsnitt"/>
    <w:uiPriority w:val="99"/>
    <w:semiHidden/>
    <w:unhideWhenUsed/>
    <w:rsid w:val="005D5F50"/>
    <w:rPr>
      <w:sz w:val="16"/>
      <w:szCs w:val="16"/>
    </w:rPr>
  </w:style>
  <w:style w:type="paragraph" w:styleId="Merknadstekst">
    <w:name w:val="annotation text"/>
    <w:basedOn w:val="Normal"/>
    <w:link w:val="MerknadstekstTegn"/>
    <w:uiPriority w:val="99"/>
    <w:semiHidden/>
    <w:unhideWhenUsed/>
    <w:rsid w:val="005D5F50"/>
  </w:style>
  <w:style w:type="character" w:customStyle="1" w:styleId="MerknadstekstTegn">
    <w:name w:val="Merknadstekst Tegn"/>
    <w:basedOn w:val="Standardskriftforavsnitt"/>
    <w:link w:val="Merknadstekst"/>
    <w:uiPriority w:val="99"/>
    <w:semiHidden/>
    <w:rsid w:val="005D5F50"/>
  </w:style>
  <w:style w:type="paragraph" w:styleId="Kommentaremne">
    <w:name w:val="annotation subject"/>
    <w:basedOn w:val="Merknadstekst"/>
    <w:next w:val="Merknadstekst"/>
    <w:link w:val="KommentaremneTegn"/>
    <w:uiPriority w:val="99"/>
    <w:semiHidden/>
    <w:unhideWhenUsed/>
    <w:rsid w:val="005D5F50"/>
    <w:rPr>
      <w:b/>
      <w:bCs/>
    </w:rPr>
  </w:style>
  <w:style w:type="character" w:customStyle="1" w:styleId="KommentaremneTegn">
    <w:name w:val="Kommentaremne Tegn"/>
    <w:basedOn w:val="MerknadstekstTegn"/>
    <w:link w:val="Kommentaremne"/>
    <w:uiPriority w:val="99"/>
    <w:semiHidden/>
    <w:rsid w:val="005D5F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5CA5E17C376EC4B95A54E2F47B964EA" ma:contentTypeVersion="1" ma:contentTypeDescription="Create a new document." ma:contentTypeScope="" ma:versionID="93e42dcdef3a954b348e50f63d7f2a44">
  <xsd:schema xmlns:xsd="http://www.w3.org/2001/XMLSchema" xmlns:xs="http://www.w3.org/2001/XMLSchema" xmlns:p="http://schemas.microsoft.com/office/2006/metadata/properties" targetNamespace="http://schemas.microsoft.com/office/2006/metadata/properties" ma:root="true" ma:fieldsID="3e2500873ed525c1cf306a41cba81e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2E52A-0B34-4BF3-AB92-ED6D4DB99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68FFA1F-25CE-4C19-8559-B2E3C48E824E}">
  <ds:schemaRefs>
    <ds:schemaRef ds:uri="http://purl.org/dc/dcmitype/"/>
    <ds:schemaRef ds:uri="http://www.w3.org/XML/1998/namespace"/>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802B2D02-2AF1-4AEA-AD71-4B8EB6AA7567}">
  <ds:schemaRefs>
    <ds:schemaRef ds:uri="http://schemas.microsoft.com/sharepoint/v3/contenttype/forms"/>
  </ds:schemaRefs>
</ds:datastoreItem>
</file>

<file path=customXml/itemProps4.xml><?xml version="1.0" encoding="utf-8"?>
<ds:datastoreItem xmlns:ds="http://schemas.openxmlformats.org/officeDocument/2006/customXml" ds:itemID="{FB00AC17-5E3A-4C44-98D4-A040CB2E8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1141</Words>
  <Characters>6052</Characters>
  <Application>Microsoft Office Word</Application>
  <DocSecurity>0</DocSecurity>
  <Lines>50</Lines>
  <Paragraphs>14</Paragraphs>
  <ScaleCrop>false</ScaleCrop>
  <HeadingPairs>
    <vt:vector size="2" baseType="variant">
      <vt:variant>
        <vt:lpstr>Tittel</vt:lpstr>
      </vt:variant>
      <vt:variant>
        <vt:i4>1</vt:i4>
      </vt:variant>
    </vt:vector>
  </HeadingPairs>
  <TitlesOfParts>
    <vt:vector size="1" baseType="lpstr">
      <vt:lpstr/>
    </vt:vector>
  </TitlesOfParts>
  <Company>Utdanningsdirektoratet</Company>
  <LinksUpToDate>false</LinksUpToDate>
  <CharactersWithSpaces>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Anne-Berit Kavli</dc:creator>
  <cp:lastModifiedBy>Fride Burton</cp:lastModifiedBy>
  <cp:revision>2</cp:revision>
  <cp:lastPrinted>2014-07-18T08:20:00Z</cp:lastPrinted>
  <dcterms:created xsi:type="dcterms:W3CDTF">2014-07-18T11:03:00Z</dcterms:created>
  <dcterms:modified xsi:type="dcterms:W3CDTF">2014-07-18T11:03:00Z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\\oslhk-i094\home$\ABK\ephorte\573437_DOC.XML</vt:lpwstr>
  </property>
  <property fmtid="{D5CDD505-2E9C-101B-9397-08002B2CF9AE}" pid="3" name="CheckInType">
    <vt:lpwstr/>
  </property>
  <property fmtid="{D5CDD505-2E9C-101B-9397-08002B2CF9AE}" pid="4" name="CheckInDocForm">
    <vt:lpwstr>http://arkiv.udir.no/ePhorteWeb/shared/aspx/Default/SPCheckinDoc.aspx</vt:lpwstr>
  </property>
  <property fmtid="{D5CDD505-2E9C-101B-9397-08002B2CF9AE}" pid="5" name="DokType">
    <vt:lpwstr>X</vt:lpwstr>
  </property>
  <property fmtid="{D5CDD505-2E9C-101B-9397-08002B2CF9AE}" pid="6" name="DokID">
    <vt:i4>575173</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http%3a%2f%2fesp.udir.no%2f_layouts%2fGecko.Ephorte.SharePoint_Base%2fCompleteDocument.aspx</vt:lpwstr>
  </property>
  <property fmtid="{D5CDD505-2E9C-101B-9397-08002B2CF9AE}" pid="11" name="WindowName">
    <vt:lpwstr>EphorteFrame</vt:lpwstr>
  </property>
  <property fmtid="{D5CDD505-2E9C-101B-9397-08002B2CF9AE}" pid="12" name="FileName">
    <vt:lpwstr>%5c%5coslhk-i094%5chome%24%5cABK%5cephorte%5c573437.DOC</vt:lpwstr>
  </property>
  <property fmtid="{D5CDD505-2E9C-101B-9397-08002B2CF9AE}" pid="13" name="LinkId">
    <vt:i4>377866</vt:i4>
  </property>
  <property fmtid="{D5CDD505-2E9C-101B-9397-08002B2CF9AE}" pid="14" name="ContentTypeId">
    <vt:lpwstr>0x010100C5CA5E17C376EC4B95A54E2F47B964EA</vt:lpwstr>
  </property>
</Properties>
</file>