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1113C8">
              <w:rPr>
                <w:rFonts w:ascii="Verdana" w:hAnsi="Verdana"/>
                <w:sz w:val="16"/>
              </w:rPr>
              <w:t>Monika Thollefsen</w:t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731C3B">
            <w:pPr>
              <w:rPr>
                <w:rFonts w:ascii="Verdana" w:hAnsi="Verdana"/>
                <w:sz w:val="16"/>
              </w:rPr>
            </w:pPr>
            <w:bookmarkStart w:id="0" w:name="BREVDATO"/>
            <w:r w:rsidRPr="00731C3B">
              <w:rPr>
                <w:rFonts w:ascii="Verdana" w:hAnsi="Verdana"/>
                <w:sz w:val="16"/>
              </w:rPr>
              <w:t>03</w:t>
            </w:r>
            <w:r w:rsidR="00EA0356" w:rsidRPr="00731C3B">
              <w:rPr>
                <w:rFonts w:ascii="Verdana" w:hAnsi="Verdana"/>
                <w:sz w:val="16"/>
              </w:rPr>
              <w:t>.11</w:t>
            </w:r>
            <w:r w:rsidR="00073E68" w:rsidRPr="00731C3B">
              <w:rPr>
                <w:rFonts w:ascii="Verdana" w:hAnsi="Verdana"/>
                <w:sz w:val="16"/>
              </w:rPr>
              <w:t>.2015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073E68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2015/62</w:t>
            </w:r>
            <w:bookmarkEnd w:id="1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726B30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8F07D0" w:rsidTr="001D3734">
        <w:tc>
          <w:tcPr>
            <w:tcW w:w="5608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r w:rsidRPr="001655AF">
              <w:rPr>
                <w:rFonts w:ascii="Verdana" w:hAnsi="Verdana"/>
                <w:noProof/>
                <w:sz w:val="20"/>
              </w:rPr>
              <w:t xml:space="preserve">Til  </w:t>
            </w:r>
          </w:p>
        </w:tc>
        <w:tc>
          <w:tcPr>
            <w:tcW w:w="4530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  <w:r w:rsidRPr="001655AF">
              <w:rPr>
                <w:rFonts w:ascii="Verdana" w:hAnsi="Verdana"/>
                <w:noProof/>
                <w:sz w:val="16"/>
              </w:rPr>
              <w:t>Kopi til:</w:t>
            </w:r>
          </w:p>
        </w:tc>
      </w:tr>
      <w:tr w:rsidR="001D3734" w:rsidRPr="001655AF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1655AF" w:rsidRDefault="001D3734" w:rsidP="006214F1">
            <w:pPr>
              <w:rPr>
                <w:rFonts w:ascii="Verdana" w:hAnsi="Verdana"/>
              </w:rPr>
            </w:pPr>
            <w:bookmarkStart w:id="5" w:name="Tilstede"/>
            <w:bookmarkEnd w:id="5"/>
            <w:r>
              <w:rPr>
                <w:rFonts w:ascii="Verdana" w:hAnsi="Verdana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bookmarkStart w:id="6" w:name="Kopi"/>
            <w:bookmarkEnd w:id="6"/>
            <w:proofErr w:type="gramStart"/>
            <w:r>
              <w:rPr>
                <w:rFonts w:ascii="Verdana" w:hAnsi="Verdana"/>
                <w:sz w:val="20"/>
              </w:rPr>
              <w:t>varamedlemmer</w:t>
            </w:r>
            <w:proofErr w:type="gramEnd"/>
          </w:p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</w:p>
        </w:tc>
      </w:tr>
    </w:tbl>
    <w:p w:rsidR="001D3734" w:rsidRPr="001655AF" w:rsidRDefault="001D3734" w:rsidP="001D3734">
      <w:pPr>
        <w:rPr>
          <w:rFonts w:ascii="Verdana" w:hAnsi="Verdana"/>
          <w:b/>
          <w:szCs w:val="24"/>
        </w:rPr>
      </w:pPr>
      <w:bookmarkStart w:id="7" w:name="Overskrift"/>
      <w:bookmarkEnd w:id="7"/>
    </w:p>
    <w:p w:rsidR="001D3734" w:rsidRPr="004B5AE6" w:rsidRDefault="001D3734" w:rsidP="001D3734">
      <w:pPr>
        <w:rPr>
          <w:rFonts w:ascii="Verdana" w:hAnsi="Verdana"/>
          <w:b/>
          <w:szCs w:val="24"/>
        </w:rPr>
      </w:pPr>
      <w:r w:rsidRPr="004B5AE6">
        <w:rPr>
          <w:rFonts w:ascii="Verdana" w:hAnsi="Verdana"/>
          <w:b/>
          <w:szCs w:val="24"/>
        </w:rPr>
        <w:t xml:space="preserve">Innkalling til møte i Faglig råd for design og håndverk </w:t>
      </w:r>
      <w:r w:rsidR="005F294A">
        <w:rPr>
          <w:rFonts w:ascii="Verdana" w:hAnsi="Verdana"/>
          <w:b/>
          <w:szCs w:val="24"/>
        </w:rPr>
        <w:t xml:space="preserve">9. november </w:t>
      </w:r>
      <w:r>
        <w:rPr>
          <w:rFonts w:ascii="Verdana" w:hAnsi="Verdana"/>
          <w:b/>
          <w:szCs w:val="24"/>
        </w:rPr>
        <w:t>2015</w:t>
      </w:r>
    </w:p>
    <w:p w:rsidR="001D3734" w:rsidRPr="004B5AE6" w:rsidRDefault="001D3734" w:rsidP="001D3734">
      <w:pPr>
        <w:rPr>
          <w:rFonts w:ascii="Verdana" w:hAnsi="Verdana"/>
        </w:rPr>
      </w:pPr>
    </w:p>
    <w:p w:rsidR="001D3734" w:rsidRPr="00C51910" w:rsidRDefault="001D3734" w:rsidP="001D3734">
      <w:pPr>
        <w:rPr>
          <w:rFonts w:ascii="Verdana" w:hAnsi="Verdana"/>
        </w:rPr>
      </w:pPr>
      <w:r w:rsidRPr="00C51910">
        <w:rPr>
          <w:rFonts w:ascii="Verdana" w:hAnsi="Verdana"/>
        </w:rPr>
        <w:t xml:space="preserve">Møtested: </w:t>
      </w:r>
      <w:r w:rsidRPr="00DD0408">
        <w:rPr>
          <w:rFonts w:ascii="Verdana" w:hAnsi="Verdana"/>
        </w:rPr>
        <w:t>Ut</w:t>
      </w:r>
      <w:r w:rsidR="005F294A" w:rsidRPr="00DD0408">
        <w:rPr>
          <w:rFonts w:ascii="Verdana" w:hAnsi="Verdana"/>
        </w:rPr>
        <w:t xml:space="preserve">danningsdirektoratet, møterom </w:t>
      </w:r>
      <w:r w:rsidR="00DD0408" w:rsidRPr="00DD0408">
        <w:rPr>
          <w:rFonts w:ascii="Verdana" w:hAnsi="Verdana"/>
        </w:rPr>
        <w:t>1</w:t>
      </w:r>
      <w:r w:rsidR="00DD0408">
        <w:rPr>
          <w:rFonts w:ascii="Verdana" w:hAnsi="Verdana"/>
        </w:rPr>
        <w:t>, 1.et</w:t>
      </w:r>
      <w:r w:rsidRPr="00DD0408">
        <w:rPr>
          <w:rFonts w:ascii="Verdana" w:hAnsi="Verdana"/>
        </w:rPr>
        <w:t>.</w:t>
      </w:r>
    </w:p>
    <w:p w:rsidR="003849B4" w:rsidRDefault="001D3734" w:rsidP="001D3734">
      <w:pPr>
        <w:rPr>
          <w:rFonts w:ascii="Verdana" w:hAnsi="Verdana"/>
        </w:rPr>
      </w:pPr>
      <w:r w:rsidRPr="004B5AE6">
        <w:rPr>
          <w:rFonts w:ascii="Verdana" w:hAnsi="Verdana"/>
        </w:rPr>
        <w:t>Møtetid</w:t>
      </w:r>
      <w:r w:rsidRPr="0007331E">
        <w:rPr>
          <w:rFonts w:ascii="Verdana" w:hAnsi="Verdana"/>
        </w:rPr>
        <w:t xml:space="preserve">: </w:t>
      </w:r>
      <w:r w:rsidR="0007331E" w:rsidRPr="0007331E">
        <w:rPr>
          <w:rFonts w:ascii="Verdana" w:hAnsi="Verdana"/>
        </w:rPr>
        <w:t>Kl.10.00-16</w:t>
      </w:r>
      <w:r w:rsidRPr="0007331E">
        <w:rPr>
          <w:rFonts w:ascii="Verdana" w:hAnsi="Verdana"/>
        </w:rPr>
        <w:t>.00, lunsj kl. 11.30.</w:t>
      </w:r>
      <w:r w:rsidR="00731C3B">
        <w:rPr>
          <w:rFonts w:ascii="Verdana" w:hAnsi="Verdana"/>
        </w:rPr>
        <w:t xml:space="preserve"> </w:t>
      </w:r>
    </w:p>
    <w:p w:rsidR="00731C3B" w:rsidRPr="00EC47F2" w:rsidRDefault="00731C3B" w:rsidP="001D3734">
      <w:pPr>
        <w:rPr>
          <w:rFonts w:ascii="Verdana" w:hAnsi="Verdana"/>
        </w:rPr>
      </w:pPr>
      <w:r>
        <w:rPr>
          <w:rFonts w:ascii="Verdana" w:hAnsi="Verdana"/>
        </w:rPr>
        <w:t xml:space="preserve">Felles julemiddag på Olympen kl. 17.00. </w:t>
      </w:r>
      <w:r w:rsidRPr="00731C3B">
        <w:rPr>
          <w:rFonts w:ascii="Verdana" w:hAnsi="Verdana"/>
        </w:rPr>
        <w:t>Grønlandsleiret 15</w:t>
      </w:r>
    </w:p>
    <w:p w:rsidR="003849B4" w:rsidRPr="00EC47F2" w:rsidRDefault="003849B4">
      <w:pPr>
        <w:rPr>
          <w:rFonts w:ascii="Verdana" w:hAnsi="Verdana"/>
        </w:rPr>
      </w:pPr>
      <w:bookmarkStart w:id="8" w:name="Start"/>
      <w:bookmarkEnd w:id="8"/>
    </w:p>
    <w:p w:rsidR="003849B4" w:rsidRDefault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Saksliste</w:t>
      </w:r>
    </w:p>
    <w:p w:rsidR="001D3734" w:rsidRDefault="005F294A" w:rsidP="001D3734">
      <w:pPr>
        <w:rPr>
          <w:rFonts w:ascii="Verdana" w:hAnsi="Verdana"/>
        </w:rPr>
      </w:pPr>
      <w:r>
        <w:rPr>
          <w:rFonts w:ascii="Verdana" w:hAnsi="Verdana"/>
        </w:rPr>
        <w:t xml:space="preserve">Oppfølging av utviklingsredegjørelsen </w:t>
      </w:r>
    </w:p>
    <w:p w:rsidR="001624D3" w:rsidRDefault="001624D3" w:rsidP="001624D3">
      <w:pPr>
        <w:rPr>
          <w:rFonts w:ascii="Verdana" w:hAnsi="Verdana"/>
        </w:rPr>
      </w:pPr>
      <w:r>
        <w:rPr>
          <w:rFonts w:ascii="Verdana" w:hAnsi="Verdana"/>
        </w:rPr>
        <w:t>Møteplan for 2016</w:t>
      </w:r>
    </w:p>
    <w:p w:rsidR="001D3734" w:rsidRPr="001D3734" w:rsidRDefault="001D3734" w:rsidP="001D3734">
      <w:pPr>
        <w:rPr>
          <w:rFonts w:ascii="Verdana" w:hAnsi="Verdana"/>
        </w:rPr>
      </w:pPr>
    </w:p>
    <w:p w:rsidR="001D3734" w:rsidRDefault="005F294A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>Sak 19</w:t>
      </w:r>
      <w:r w:rsidR="001D3734" w:rsidRPr="001D3734">
        <w:rPr>
          <w:rFonts w:ascii="Verdana" w:hAnsi="Verdana"/>
          <w:b/>
        </w:rPr>
        <w:t>/15</w:t>
      </w:r>
      <w:r w:rsidR="001113C8">
        <w:rPr>
          <w:rFonts w:ascii="Verdana" w:hAnsi="Verdana"/>
          <w:b/>
        </w:rPr>
        <w:t xml:space="preserve"> </w:t>
      </w:r>
      <w:r w:rsidR="0053774A">
        <w:rPr>
          <w:rFonts w:ascii="Verdana" w:hAnsi="Verdana"/>
          <w:b/>
        </w:rPr>
        <w:t>U</w:t>
      </w:r>
      <w:r>
        <w:rPr>
          <w:rFonts w:ascii="Verdana" w:hAnsi="Verdana"/>
          <w:b/>
        </w:rPr>
        <w:t xml:space="preserve">tviklingsredegjørelsen </w:t>
      </w:r>
      <w:r w:rsidR="0053774A">
        <w:rPr>
          <w:rFonts w:ascii="Verdana" w:hAnsi="Verdana"/>
          <w:b/>
        </w:rPr>
        <w:t>del 1 og videre arbeid med del 2</w:t>
      </w:r>
    </w:p>
    <w:p w:rsidR="001624D3" w:rsidRPr="0053774A" w:rsidRDefault="001624D3" w:rsidP="0053774A">
      <w:pPr>
        <w:rPr>
          <w:rFonts w:ascii="Verdana" w:hAnsi="Verdana"/>
        </w:rPr>
      </w:pPr>
      <w:proofErr w:type="spellStart"/>
      <w:r w:rsidRPr="0053774A">
        <w:rPr>
          <w:rFonts w:ascii="Verdana" w:hAnsi="Verdana"/>
        </w:rPr>
        <w:t>FRDHs</w:t>
      </w:r>
      <w:proofErr w:type="spellEnd"/>
      <w:r w:rsidRPr="0053774A">
        <w:rPr>
          <w:rFonts w:ascii="Verdana" w:hAnsi="Verdana"/>
        </w:rPr>
        <w:t xml:space="preserve"> utviklin</w:t>
      </w:r>
      <w:r w:rsidR="0072316F" w:rsidRPr="0053774A">
        <w:rPr>
          <w:rFonts w:ascii="Verdana" w:hAnsi="Verdana"/>
        </w:rPr>
        <w:t xml:space="preserve">gsredegjørelse 2015/2016 del 1 </w:t>
      </w:r>
      <w:r w:rsidRPr="0053774A">
        <w:rPr>
          <w:rFonts w:ascii="Verdana" w:hAnsi="Verdana"/>
        </w:rPr>
        <w:t xml:space="preserve">er publisert på </w:t>
      </w:r>
      <w:hyperlink r:id="rId8" w:history="1">
        <w:r w:rsidRPr="0053774A">
          <w:rPr>
            <w:rStyle w:val="Hyperkobling"/>
            <w:rFonts w:ascii="Verdana" w:hAnsi="Verdana"/>
          </w:rPr>
          <w:t>www.fagligerad.no/ur/</w:t>
        </w:r>
      </w:hyperlink>
      <w:r w:rsidRPr="0053774A">
        <w:rPr>
          <w:rFonts w:ascii="Verdana" w:hAnsi="Verdana"/>
        </w:rPr>
        <w:t xml:space="preserve">. </w:t>
      </w:r>
    </w:p>
    <w:p w:rsidR="0053774A" w:rsidRDefault="001624D3" w:rsidP="0053774A">
      <w:pPr>
        <w:rPr>
          <w:rFonts w:ascii="Verdana" w:hAnsi="Verdana"/>
        </w:rPr>
      </w:pPr>
      <w:r>
        <w:rPr>
          <w:rFonts w:ascii="Verdana" w:hAnsi="Verdana"/>
        </w:rPr>
        <w:t xml:space="preserve">Del 2 av redegjørelsen </w:t>
      </w:r>
      <w:r w:rsidR="005F294A" w:rsidRPr="005F294A">
        <w:rPr>
          <w:rFonts w:ascii="Verdana" w:hAnsi="Verdana"/>
        </w:rPr>
        <w:t>skal leveres innen 1</w:t>
      </w:r>
      <w:r w:rsidR="00AC3688">
        <w:rPr>
          <w:rFonts w:ascii="Verdana" w:hAnsi="Verdana"/>
        </w:rPr>
        <w:t>5</w:t>
      </w:r>
      <w:r w:rsidR="005F294A" w:rsidRPr="005F294A">
        <w:rPr>
          <w:rFonts w:ascii="Verdana" w:hAnsi="Verdana"/>
        </w:rPr>
        <w:t xml:space="preserve">.april 2016. </w:t>
      </w:r>
      <w:r w:rsidR="0072316F">
        <w:rPr>
          <w:rFonts w:ascii="Verdana" w:hAnsi="Verdana"/>
        </w:rPr>
        <w:t xml:space="preserve">Se bestillingen for </w:t>
      </w:r>
      <w:r w:rsidR="00EA0356">
        <w:rPr>
          <w:rFonts w:ascii="Verdana" w:hAnsi="Verdana"/>
        </w:rPr>
        <w:t>u</w:t>
      </w:r>
      <w:r w:rsidR="0072316F">
        <w:rPr>
          <w:rFonts w:ascii="Verdana" w:hAnsi="Verdana"/>
        </w:rPr>
        <w:t xml:space="preserve">tviklingsredegjørelsen 2015 vedlagt. </w:t>
      </w:r>
    </w:p>
    <w:p w:rsidR="0053774A" w:rsidRDefault="0053774A" w:rsidP="0053774A">
      <w:pPr>
        <w:rPr>
          <w:rFonts w:ascii="Verdana" w:hAnsi="Verdana"/>
        </w:rPr>
      </w:pPr>
    </w:p>
    <w:p w:rsidR="0072316F" w:rsidRDefault="0053774A" w:rsidP="0053774A">
      <w:pPr>
        <w:rPr>
          <w:rFonts w:ascii="Verdana" w:hAnsi="Verdana"/>
        </w:rPr>
      </w:pPr>
      <w:r>
        <w:rPr>
          <w:rFonts w:ascii="Verdana" w:hAnsi="Verdana"/>
        </w:rPr>
        <w:t xml:space="preserve">I rådsmøtet vil avdelingsdirektør Anne Katrine Kaels delta i diskusjon om videre arbeid med redegjørelsen og gi muntlige tilbakemeldinger fra Utdanningsdirektoratet. Det vil i midten av november komme en skriftlig tilbakemelding fra direktoratet. </w:t>
      </w:r>
    </w:p>
    <w:p w:rsidR="0053774A" w:rsidRPr="0072316F" w:rsidRDefault="0053774A" w:rsidP="0053774A">
      <w:pPr>
        <w:rPr>
          <w:rFonts w:ascii="Verdana" w:hAnsi="Verdana"/>
        </w:rPr>
      </w:pPr>
    </w:p>
    <w:p w:rsidR="0053774A" w:rsidRDefault="00EA0356" w:rsidP="0053774A">
      <w:pPr>
        <w:rPr>
          <w:rFonts w:ascii="Verdana" w:hAnsi="Verdana"/>
        </w:rPr>
      </w:pPr>
      <w:r>
        <w:rPr>
          <w:rFonts w:ascii="Verdana" w:hAnsi="Verdana"/>
        </w:rPr>
        <w:t>I møtet vurderer r</w:t>
      </w:r>
      <w:r w:rsidR="0053774A" w:rsidRPr="0053774A">
        <w:rPr>
          <w:rFonts w:ascii="Verdana" w:hAnsi="Verdana"/>
        </w:rPr>
        <w:t xml:space="preserve">ådet informasjon som har kommet opp </w:t>
      </w:r>
      <w:r w:rsidR="00DD0408">
        <w:rPr>
          <w:rFonts w:ascii="Verdana" w:hAnsi="Verdana"/>
        </w:rPr>
        <w:t>gjennom</w:t>
      </w:r>
      <w:r w:rsidR="0053774A" w:rsidRPr="0053774A">
        <w:rPr>
          <w:rFonts w:ascii="Verdana" w:hAnsi="Verdana"/>
        </w:rPr>
        <w:t xml:space="preserve"> arbeidet med del 1 av utviklingsredegjørelsen 2015/2016 og </w:t>
      </w:r>
      <w:r w:rsidRPr="0053774A">
        <w:rPr>
          <w:rFonts w:ascii="Verdana" w:hAnsi="Verdana"/>
        </w:rPr>
        <w:t xml:space="preserve">forslag fra utviklingsredegjørelsen 2013 og </w:t>
      </w:r>
      <w:r w:rsidR="0053774A" w:rsidRPr="0053774A">
        <w:rPr>
          <w:rFonts w:ascii="Verdana" w:hAnsi="Verdana"/>
        </w:rPr>
        <w:t>lager en plan for hvordan rådet vil jobbe vi</w:t>
      </w:r>
      <w:r>
        <w:rPr>
          <w:rFonts w:ascii="Verdana" w:hAnsi="Verdana"/>
        </w:rPr>
        <w:t>dere med del 2</w:t>
      </w:r>
      <w:r w:rsidR="0053774A">
        <w:rPr>
          <w:rFonts w:ascii="Verdana" w:hAnsi="Verdana"/>
        </w:rPr>
        <w:t>. Hvilke saker og forslag vil rådet jobbe videre med? Hvordan skal arbeidet organiseres? Rådet utarbeider en framdriftsplan for del 2. Se liste over</w:t>
      </w:r>
      <w:r>
        <w:rPr>
          <w:rFonts w:ascii="Verdana" w:hAnsi="Verdana"/>
        </w:rPr>
        <w:t xml:space="preserve"> forslag fra u</w:t>
      </w:r>
      <w:r w:rsidR="0053774A">
        <w:rPr>
          <w:rFonts w:ascii="Verdana" w:hAnsi="Verdana"/>
        </w:rPr>
        <w:t xml:space="preserve">tviklingsredegjørelsen 2013 vedlagt. </w:t>
      </w:r>
    </w:p>
    <w:p w:rsidR="0053774A" w:rsidRDefault="0053774A" w:rsidP="0053774A">
      <w:pPr>
        <w:rPr>
          <w:rFonts w:ascii="Verdana" w:hAnsi="Verdana"/>
        </w:rPr>
      </w:pPr>
    </w:p>
    <w:p w:rsidR="00FC4405" w:rsidRPr="0053774A" w:rsidRDefault="0053774A" w:rsidP="0053774A">
      <w:pPr>
        <w:rPr>
          <w:rFonts w:ascii="Verdana" w:hAnsi="Verdana"/>
        </w:rPr>
      </w:pPr>
      <w:r>
        <w:rPr>
          <w:rFonts w:ascii="Verdana" w:hAnsi="Verdana"/>
        </w:rPr>
        <w:t>AU foreslår at rådet tar kontakt med FRTIP, FRBA og FRSS for samarbeid om</w:t>
      </w:r>
      <w:r w:rsidR="00FB0C25">
        <w:rPr>
          <w:rFonts w:ascii="Verdana" w:hAnsi="Verdana"/>
        </w:rPr>
        <w:t xml:space="preserve"> enkelte fag. </w:t>
      </w:r>
      <w:r>
        <w:rPr>
          <w:rFonts w:ascii="Verdana" w:hAnsi="Verdana"/>
        </w:rPr>
        <w:t xml:space="preserve">Se forslag til invitasjonsbrev vedlagt. </w:t>
      </w:r>
      <w:r w:rsidR="0072316F" w:rsidRPr="0053774A">
        <w:rPr>
          <w:rFonts w:ascii="Verdana" w:hAnsi="Verdana"/>
        </w:rPr>
        <w:t xml:space="preserve">  </w:t>
      </w:r>
    </w:p>
    <w:p w:rsidR="00F125B2" w:rsidRPr="00EA0356" w:rsidRDefault="002D3553" w:rsidP="00EA0356">
      <w:pPr>
        <w:pStyle w:val="NormalWeb"/>
        <w:rPr>
          <w:rFonts w:asciiTheme="minorHAnsi" w:hAnsiTheme="minorHAnsi"/>
          <w:sz w:val="20"/>
          <w:szCs w:val="20"/>
        </w:rPr>
      </w:pPr>
      <w:r w:rsidRPr="00EA0356">
        <w:rPr>
          <w:rFonts w:asciiTheme="minorHAnsi" w:hAnsiTheme="minorHAnsi"/>
          <w:b/>
          <w:sz w:val="20"/>
          <w:szCs w:val="20"/>
        </w:rPr>
        <w:t>20</w:t>
      </w:r>
      <w:r w:rsidR="00F125B2" w:rsidRPr="00EA0356">
        <w:rPr>
          <w:rFonts w:asciiTheme="minorHAnsi" w:hAnsiTheme="minorHAnsi"/>
          <w:b/>
          <w:sz w:val="20"/>
          <w:szCs w:val="20"/>
        </w:rPr>
        <w:t>/15 Møteplan</w:t>
      </w:r>
      <w:r w:rsidR="00EA0356">
        <w:rPr>
          <w:rFonts w:asciiTheme="minorHAnsi" w:hAnsiTheme="minorHAnsi"/>
          <w:b/>
          <w:sz w:val="20"/>
          <w:szCs w:val="20"/>
        </w:rPr>
        <w:br/>
      </w:r>
      <w:r w:rsidR="00F125B2" w:rsidRPr="00EA0356">
        <w:rPr>
          <w:rFonts w:asciiTheme="minorHAnsi" w:hAnsiTheme="minorHAnsi"/>
          <w:bCs/>
          <w:sz w:val="20"/>
          <w:szCs w:val="20"/>
        </w:rPr>
        <w:t>Forslag til møteplan 2016</w:t>
      </w:r>
      <w:r w:rsidR="00EA0356" w:rsidRPr="00EA0356">
        <w:rPr>
          <w:rFonts w:asciiTheme="minorHAnsi" w:hAnsiTheme="minorHAnsi"/>
          <w:sz w:val="20"/>
          <w:szCs w:val="20"/>
        </w:rPr>
        <w:t xml:space="preserve">. Det kan planlegges fylkesbesøk andre halvår 2016, med forbehold om budsjettbevilgninger.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6"/>
        <w:gridCol w:w="2101"/>
        <w:gridCol w:w="2270"/>
        <w:gridCol w:w="3650"/>
      </w:tblGrid>
      <w:tr w:rsidR="00EA0356" w:rsidRPr="002D3553" w:rsidTr="00D64F42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 w:rsidP="002D3553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A</w:t>
            </w:r>
            <w:r w:rsidR="00EA0356">
              <w:rPr>
                <w:rFonts w:asciiTheme="minorHAnsi" w:hAnsiTheme="minorHAnsi"/>
              </w:rPr>
              <w:t>U-</w:t>
            </w:r>
            <w:r w:rsidRPr="002D3553">
              <w:rPr>
                <w:rFonts w:asciiTheme="minorHAnsi" w:hAnsiTheme="minorHAnsi"/>
              </w:rPr>
              <w:t>møter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Rådsmøter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Arbeidsgruppemøte</w:t>
            </w:r>
            <w:r w:rsidR="002D3553" w:rsidRPr="002D3553">
              <w:rPr>
                <w:rFonts w:asciiTheme="minorHAnsi" w:hAnsiTheme="minorHAnsi"/>
              </w:rPr>
              <w:t>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SRY-møter</w:t>
            </w:r>
          </w:p>
        </w:tc>
      </w:tr>
      <w:tr w:rsidR="00D64F42" w:rsidRPr="002D3553" w:rsidTr="00D64F4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18. januar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EA0356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8. februar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 xml:space="preserve">4. februar </w:t>
            </w:r>
          </w:p>
        </w:tc>
      </w:tr>
      <w:tr w:rsidR="00D64F42" w:rsidRPr="002D3553" w:rsidTr="00D64F4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11. 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2D3553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 xml:space="preserve">14. mars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 w:rsidP="00EA035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D3553">
              <w:rPr>
                <w:rFonts w:asciiTheme="minorHAnsi" w:hAnsiTheme="minorHAnsi"/>
                <w:sz w:val="20"/>
                <w:szCs w:val="20"/>
              </w:rPr>
              <w:t>18. februar (fellesmøte)</w:t>
            </w:r>
          </w:p>
        </w:tc>
      </w:tr>
      <w:tr w:rsidR="00D64F42" w:rsidRPr="002D3553" w:rsidTr="00D64F4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EA0356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6. juni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>28. april (SRY-møte + fellesmøte)</w:t>
            </w:r>
          </w:p>
        </w:tc>
      </w:tr>
      <w:tr w:rsidR="00D64F42" w:rsidRPr="002D3553" w:rsidTr="00D64F4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56" w:rsidRPr="002D3553" w:rsidRDefault="00EA0356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19.-21. september</w:t>
            </w:r>
          </w:p>
          <w:p w:rsidR="00F125B2" w:rsidRPr="002D3553" w:rsidRDefault="00EA0356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Fylkesbesøk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 xml:space="preserve">2. juni </w:t>
            </w:r>
          </w:p>
        </w:tc>
      </w:tr>
      <w:tr w:rsidR="00EA0356" w:rsidRPr="002D3553" w:rsidTr="00D64F4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56" w:rsidRPr="002D3553" w:rsidRDefault="00EA035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56" w:rsidRPr="002D3553" w:rsidRDefault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21. 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356" w:rsidRPr="002D3553" w:rsidRDefault="00EA035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56" w:rsidRPr="002D3553" w:rsidRDefault="00EA0356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 xml:space="preserve">15. september </w:t>
            </w:r>
          </w:p>
        </w:tc>
      </w:tr>
      <w:tr w:rsidR="00D64F42" w:rsidRPr="002D3553" w:rsidTr="00D64F4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 w:rsidP="00EA0356">
            <w:pPr>
              <w:rPr>
                <w:rFonts w:asciiTheme="minorHAnsi" w:hAnsiTheme="minorHAnsi"/>
                <w:color w:val="000000"/>
              </w:rPr>
            </w:pPr>
            <w:r w:rsidRPr="002D3553">
              <w:rPr>
                <w:rFonts w:asciiTheme="minorHAnsi" w:hAnsiTheme="minorHAnsi"/>
                <w:color w:val="000000"/>
              </w:rPr>
              <w:t>13. oktober (fellesmøte)</w:t>
            </w:r>
          </w:p>
        </w:tc>
      </w:tr>
      <w:tr w:rsidR="00D64F42" w:rsidRPr="002D3553" w:rsidTr="00D64F42">
        <w:trPr>
          <w:trHeight w:val="50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 w:rsidP="00EA0356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 xml:space="preserve">3. november </w:t>
            </w:r>
          </w:p>
        </w:tc>
      </w:tr>
      <w:tr w:rsidR="00D64F42" w:rsidRPr="002D3553" w:rsidTr="00D64F4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 w:rsidP="00EA0356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>1-2. desember (Euroskills)</w:t>
            </w:r>
          </w:p>
        </w:tc>
      </w:tr>
      <w:tr w:rsidR="00D64F42" w:rsidRPr="002D3553" w:rsidTr="00D64F4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 w:rsidP="00EA0356">
            <w:pPr>
              <w:rPr>
                <w:rFonts w:asciiTheme="minorHAnsi" w:hAnsiTheme="minorHAnsi"/>
                <w:color w:val="000000"/>
              </w:rPr>
            </w:pPr>
            <w:r w:rsidRPr="002D3553">
              <w:rPr>
                <w:rFonts w:asciiTheme="minorHAnsi" w:hAnsiTheme="minorHAnsi"/>
                <w:color w:val="000000"/>
              </w:rPr>
              <w:t>8. desember (fellesmøte)</w:t>
            </w:r>
          </w:p>
        </w:tc>
      </w:tr>
      <w:tr w:rsidR="00F125B2" w:rsidRPr="002D3553" w:rsidTr="00EA035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22. februar:</w:t>
            </w:r>
          </w:p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1. mars:</w:t>
            </w:r>
          </w:p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20. mars:</w:t>
            </w:r>
          </w:p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1. april:</w:t>
            </w:r>
          </w:p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3. oktober: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Vinterferie</w:t>
            </w:r>
          </w:p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 xml:space="preserve">Frist for levering av utvalgsrapport til FR og </w:t>
            </w:r>
            <w:proofErr w:type="spellStart"/>
            <w:r w:rsidRPr="002D3553">
              <w:rPr>
                <w:rFonts w:asciiTheme="minorHAnsi" w:hAnsiTheme="minorHAnsi"/>
              </w:rPr>
              <w:t>Udir</w:t>
            </w:r>
            <w:proofErr w:type="spellEnd"/>
            <w:r w:rsidRPr="002D3553">
              <w:rPr>
                <w:rFonts w:asciiTheme="minorHAnsi" w:hAnsiTheme="minorHAnsi"/>
              </w:rPr>
              <w:t xml:space="preserve"> </w:t>
            </w:r>
          </w:p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Palmesøndag</w:t>
            </w:r>
          </w:p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 xml:space="preserve">Frist for levering av utviklingsredegjørelsen del 2 </w:t>
            </w:r>
          </w:p>
          <w:p w:rsidR="00F125B2" w:rsidRPr="002D3553" w:rsidRDefault="00F125B2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Høstferie</w:t>
            </w:r>
          </w:p>
        </w:tc>
      </w:tr>
      <w:tr w:rsidR="00EA0356" w:rsidRPr="002D3553" w:rsidTr="00EA0356">
        <w:tc>
          <w:tcPr>
            <w:tcW w:w="0" w:type="auto"/>
            <w:vAlign w:val="center"/>
            <w:hideMark/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125B2" w:rsidRPr="002D3553" w:rsidRDefault="00F125B2">
            <w:pPr>
              <w:rPr>
                <w:rFonts w:asciiTheme="minorHAnsi" w:hAnsiTheme="minorHAnsi"/>
              </w:rPr>
            </w:pPr>
          </w:p>
        </w:tc>
      </w:tr>
    </w:tbl>
    <w:p w:rsidR="00EA0356" w:rsidRDefault="00EA0356" w:rsidP="001D3734">
      <w:pPr>
        <w:rPr>
          <w:rFonts w:ascii="Verdana" w:hAnsi="Verdana"/>
          <w:b/>
        </w:rPr>
      </w:pPr>
    </w:p>
    <w:p w:rsidR="004D391B" w:rsidRDefault="004D391B" w:rsidP="001D3734">
      <w:pPr>
        <w:rPr>
          <w:rFonts w:ascii="Verdana" w:hAnsi="Verdana"/>
          <w:b/>
        </w:rPr>
      </w:pPr>
      <w:r w:rsidRPr="00EA25D4">
        <w:rPr>
          <w:rFonts w:ascii="Verdana" w:hAnsi="Verdana"/>
          <w:b/>
        </w:rPr>
        <w:t>Orienteringssaker</w:t>
      </w:r>
    </w:p>
    <w:p w:rsidR="00731C3B" w:rsidRDefault="00731C3B" w:rsidP="00FC4405">
      <w:pPr>
        <w:rPr>
          <w:rFonts w:ascii="Verdana" w:hAnsi="Verdana"/>
          <w:b/>
        </w:rPr>
      </w:pPr>
    </w:p>
    <w:p w:rsidR="00FC4405" w:rsidRPr="00731C3B" w:rsidRDefault="00FC4405" w:rsidP="00FC4405">
      <w:pPr>
        <w:rPr>
          <w:rFonts w:ascii="Verdana" w:hAnsi="Verdana"/>
          <w:b/>
        </w:rPr>
      </w:pPr>
      <w:r w:rsidRPr="00731C3B">
        <w:rPr>
          <w:rFonts w:ascii="Verdana" w:hAnsi="Verdana"/>
          <w:b/>
        </w:rPr>
        <w:t>Høring om endringer i opplæringsloven - Praksisbrevordningen og godkjenning av utenlandsk fagopplæring</w:t>
      </w:r>
    </w:p>
    <w:p w:rsidR="00FC4405" w:rsidRPr="00731C3B" w:rsidRDefault="00FC4405" w:rsidP="00FC4405">
      <w:pPr>
        <w:rPr>
          <w:rFonts w:ascii="Verdana" w:hAnsi="Verdana"/>
        </w:rPr>
      </w:pPr>
      <w:r w:rsidRPr="00731C3B">
        <w:rPr>
          <w:rFonts w:ascii="Verdana" w:hAnsi="Verdana"/>
        </w:rPr>
        <w:t>Kunnskapsdepartementet har sendt på høring forslag til endringer i opplæringsloven for å innføre praksisbrevordningen, en toårig praktisk opplæring, som et supplement til ordinær yrkesfaglig videregående opplæring. Departementet foreslår at praksisbrevordningen skal være et tilbud i alle fylker. Videre foreslår departementet endringer i opplæringsloven for å etablere en godkjenningsordning for utenlandsk fagopplæring.</w:t>
      </w:r>
    </w:p>
    <w:p w:rsidR="00FC4405" w:rsidRPr="00731C3B" w:rsidRDefault="00FC4405" w:rsidP="00FC4405">
      <w:pPr>
        <w:rPr>
          <w:rFonts w:ascii="Verdana" w:hAnsi="Verdana"/>
        </w:rPr>
      </w:pPr>
    </w:p>
    <w:p w:rsidR="00FC4405" w:rsidRDefault="00FC4405" w:rsidP="00FC4405">
      <w:pPr>
        <w:rPr>
          <w:rFonts w:ascii="Verdana" w:hAnsi="Verdana"/>
        </w:rPr>
      </w:pPr>
      <w:r w:rsidRPr="00731C3B">
        <w:rPr>
          <w:rFonts w:ascii="Verdana" w:hAnsi="Verdana"/>
        </w:rPr>
        <w:t>Sekretariatet gjør oppmerksom på at departementet foreslår i høringsdokumentet (punkt 3.3) at faglig ekspertise til arbeidet med vurdering av utenlandsk utdanning kan hentes fra etablerte faglige organ som de faglige rådene i videregående opplæring eller prøvenemndsmedlemmer for fag- eller svenneprøver. Sekretariatet ber de faglige rådene vurdere sin kapasitet sett i lys av dagens mandat og arbeidsoppgaver og gi innspill til dette punktet.</w:t>
      </w:r>
    </w:p>
    <w:p w:rsidR="00731C3B" w:rsidRDefault="00731C3B" w:rsidP="00FC4405">
      <w:pPr>
        <w:rPr>
          <w:rFonts w:ascii="Verdana" w:hAnsi="Verdana"/>
        </w:rPr>
      </w:pPr>
    </w:p>
    <w:p w:rsidR="00731C3B" w:rsidRPr="00731C3B" w:rsidRDefault="00731C3B" w:rsidP="00FC4405">
      <w:pPr>
        <w:rPr>
          <w:rFonts w:ascii="Verdana" w:hAnsi="Verdana"/>
        </w:rPr>
      </w:pPr>
      <w:r>
        <w:rPr>
          <w:rFonts w:ascii="Verdana" w:hAnsi="Verdana"/>
        </w:rPr>
        <w:t xml:space="preserve">Se høringsbrev vedlagt innkallingen. Høringsfristen er 14. desember. Rådet ferdigbehandler saken på e-post etter rådsmøtet. </w:t>
      </w:r>
    </w:p>
    <w:p w:rsidR="00FC4405" w:rsidRPr="00731C3B" w:rsidRDefault="00FC4405" w:rsidP="001D3734">
      <w:pPr>
        <w:rPr>
          <w:rFonts w:ascii="Verdana" w:hAnsi="Verdana"/>
        </w:rPr>
      </w:pPr>
    </w:p>
    <w:p w:rsidR="00857109" w:rsidRPr="00731C3B" w:rsidRDefault="00731C3B" w:rsidP="00731C3B">
      <w:pPr>
        <w:rPr>
          <w:rFonts w:ascii="Verdana" w:hAnsi="Verdana"/>
          <w:b/>
        </w:rPr>
      </w:pPr>
      <w:r w:rsidRPr="00731C3B">
        <w:rPr>
          <w:rFonts w:ascii="Verdana" w:hAnsi="Verdana"/>
          <w:b/>
        </w:rPr>
        <w:t>Møter der rådet har vært representert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22"/>
      </w:tblGrid>
      <w:tr w:rsidR="002D3553" w:rsidRPr="00EC47F2" w:rsidTr="002D3553">
        <w:tc>
          <w:tcPr>
            <w:tcW w:w="5000" w:type="pct"/>
          </w:tcPr>
          <w:p w:rsidR="002D3553" w:rsidRDefault="002D35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Marianne Monsrud orienterer fra:  </w:t>
            </w:r>
          </w:p>
          <w:p w:rsidR="002D3553" w:rsidRPr="00FB0C25" w:rsidRDefault="00FB0C25" w:rsidP="002D3553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="Verdana" w:hAnsi="Verdana"/>
              </w:rPr>
              <w:t>M</w:t>
            </w:r>
            <w:r w:rsidR="002D3553" w:rsidRPr="002D3553">
              <w:rPr>
                <w:rFonts w:ascii="Verdana" w:hAnsi="Verdana"/>
              </w:rPr>
              <w:t>øte</w:t>
            </w:r>
            <w:r>
              <w:rPr>
                <w:rFonts w:ascii="Verdana" w:hAnsi="Verdana"/>
              </w:rPr>
              <w:t xml:space="preserve"> i Utdanningsdirektoratet om</w:t>
            </w:r>
            <w:r w:rsidR="002D3553" w:rsidRPr="002D35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modeller for </w:t>
            </w:r>
            <w:r w:rsidR="002D3553" w:rsidRPr="002D3553">
              <w:rPr>
                <w:rFonts w:ascii="Verdana" w:hAnsi="Verdana"/>
              </w:rPr>
              <w:t>overgang</w:t>
            </w:r>
            <w:r>
              <w:rPr>
                <w:rFonts w:ascii="Verdana" w:hAnsi="Verdana"/>
              </w:rPr>
              <w:t>er</w:t>
            </w:r>
            <w:r w:rsidR="002D3553" w:rsidRPr="002D3553">
              <w:rPr>
                <w:rFonts w:ascii="Verdana" w:hAnsi="Verdana"/>
              </w:rPr>
              <w:t xml:space="preserve"> f</w:t>
            </w:r>
            <w:r>
              <w:rPr>
                <w:rFonts w:ascii="Verdana" w:hAnsi="Verdana"/>
              </w:rPr>
              <w:t>ra studieforberedende til yrkes</w:t>
            </w:r>
            <w:r w:rsidR="002D3553" w:rsidRPr="002D3553">
              <w:rPr>
                <w:rFonts w:ascii="Verdana" w:hAnsi="Verdana"/>
              </w:rPr>
              <w:t>fag</w:t>
            </w:r>
            <w:r>
              <w:rPr>
                <w:rFonts w:ascii="Verdana" w:hAnsi="Verdana"/>
              </w:rPr>
              <w:t>lige utdanning</w:t>
            </w:r>
            <w:r w:rsidR="00527641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program: </w:t>
            </w:r>
            <w:r w:rsidRPr="00FB0C25">
              <w:rPr>
                <w:rFonts w:asciiTheme="minorHAnsi" w:hAnsiTheme="minorHAnsi"/>
              </w:rPr>
              <w:t xml:space="preserve">Utdanningsdirektoratet arbeider med et oppdrag der det skal utvikles modeller for overganger fra studieforberedende til yrkesfaglige utdanningsprogram.   </w:t>
            </w:r>
          </w:p>
          <w:p w:rsidR="002D3553" w:rsidRDefault="002D3553" w:rsidP="002D3553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Strategiseminar om blomsterdekoratørfaget</w:t>
            </w:r>
            <w:r w:rsidR="00527641">
              <w:rPr>
                <w:rFonts w:ascii="Verdana" w:hAnsi="Verdana"/>
              </w:rPr>
              <w:t xml:space="preserve"> «Et samfunn i endring hva betyr det for blomsterdekoratørfaget?»</w:t>
            </w:r>
          </w:p>
          <w:p w:rsidR="00527641" w:rsidRDefault="00527641" w:rsidP="002D3553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Tekstilseminar på Sam Eyde vgs. «Fagfolk for fremtiden – trenger vi dem?»</w:t>
            </w:r>
          </w:p>
          <w:p w:rsidR="002D3553" w:rsidRDefault="00527641" w:rsidP="002D3553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Nettverks</w:t>
            </w:r>
            <w:r w:rsidR="002D3553">
              <w:rPr>
                <w:rFonts w:ascii="Verdana" w:hAnsi="Verdana"/>
              </w:rPr>
              <w:t>m</w:t>
            </w:r>
            <w:r w:rsidR="002D3553" w:rsidRPr="002D3553">
              <w:rPr>
                <w:rFonts w:ascii="Verdana" w:hAnsi="Verdana"/>
              </w:rPr>
              <w:t>øte</w:t>
            </w:r>
            <w:r>
              <w:rPr>
                <w:rFonts w:ascii="Verdana" w:hAnsi="Verdana"/>
              </w:rPr>
              <w:t xml:space="preserve"> for DH-lærere</w:t>
            </w:r>
            <w:r w:rsidR="002D3553" w:rsidRPr="002D3553">
              <w:rPr>
                <w:rFonts w:ascii="Verdana" w:hAnsi="Verdana"/>
              </w:rPr>
              <w:t xml:space="preserve"> Drammen</w:t>
            </w:r>
            <w:r w:rsidR="00D771AA">
              <w:rPr>
                <w:rFonts w:ascii="Verdana" w:hAnsi="Verdana"/>
              </w:rPr>
              <w:t xml:space="preserve"> vgs.</w:t>
            </w:r>
          </w:p>
          <w:p w:rsidR="002D3553" w:rsidRDefault="00D771AA" w:rsidP="002D3553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Deltakelse i forskningsprosjekt </w:t>
            </w:r>
            <w:proofErr w:type="spellStart"/>
            <w:r>
              <w:rPr>
                <w:rFonts w:ascii="Verdana" w:hAnsi="Verdana"/>
              </w:rPr>
              <w:t>HiOA</w:t>
            </w:r>
            <w:proofErr w:type="spellEnd"/>
            <w:r>
              <w:rPr>
                <w:rFonts w:ascii="Verdana" w:hAnsi="Verdana"/>
              </w:rPr>
              <w:t xml:space="preserve"> og NTNU</w:t>
            </w:r>
          </w:p>
          <w:p w:rsidR="002D3553" w:rsidRDefault="002D3553" w:rsidP="002D3553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Møte i Utvalg 5</w:t>
            </w:r>
            <w:r w:rsidR="00FB0C25">
              <w:rPr>
                <w:rFonts w:ascii="Verdana" w:hAnsi="Verdana"/>
              </w:rPr>
              <w:t xml:space="preserve">, 4. november: FRDH var invitert </w:t>
            </w:r>
            <w:r w:rsidR="00FB0C25" w:rsidRPr="005F294A">
              <w:rPr>
                <w:rFonts w:ascii="Verdana" w:hAnsi="Verdana"/>
              </w:rPr>
              <w:t xml:space="preserve">for å holde et innlegg om </w:t>
            </w:r>
            <w:proofErr w:type="spellStart"/>
            <w:r w:rsidR="00FB0C25" w:rsidRPr="005F294A">
              <w:rPr>
                <w:rFonts w:ascii="Verdana" w:hAnsi="Verdana"/>
              </w:rPr>
              <w:t>FRDHs</w:t>
            </w:r>
            <w:proofErr w:type="spellEnd"/>
            <w:r w:rsidR="00FB0C25" w:rsidRPr="005F294A">
              <w:rPr>
                <w:rFonts w:ascii="Verdana" w:hAnsi="Verdana"/>
              </w:rPr>
              <w:t xml:space="preserve"> utviklingsredegjørelse del 1 og spesielt rådets gjennomgang av de små verneverdige fagene.</w:t>
            </w:r>
          </w:p>
          <w:p w:rsidR="002D3553" w:rsidRDefault="002D3553" w:rsidP="00EA0356">
            <w:pPr>
              <w:rPr>
                <w:rFonts w:ascii="Verdana" w:hAnsi="Verdana"/>
              </w:rPr>
            </w:pPr>
          </w:p>
          <w:p w:rsidR="0007331E" w:rsidRPr="00EC47F2" w:rsidRDefault="0007331E" w:rsidP="00EA0356">
            <w:pPr>
              <w:rPr>
                <w:rFonts w:ascii="Verdana" w:hAnsi="Verdana"/>
              </w:rPr>
            </w:pPr>
          </w:p>
        </w:tc>
      </w:tr>
      <w:tr w:rsidR="002D3553" w:rsidRPr="00EC47F2" w:rsidTr="002D3553">
        <w:tc>
          <w:tcPr>
            <w:tcW w:w="5000" w:type="pct"/>
          </w:tcPr>
          <w:p w:rsidR="002D3553" w:rsidRPr="00EC47F2" w:rsidRDefault="002D3553">
            <w:pPr>
              <w:rPr>
                <w:rFonts w:ascii="Verdana" w:hAnsi="Verdana"/>
              </w:rPr>
            </w:pPr>
          </w:p>
        </w:tc>
      </w:tr>
      <w:tr w:rsidR="002D3553" w:rsidRPr="00EC47F2" w:rsidTr="002D3553">
        <w:tc>
          <w:tcPr>
            <w:tcW w:w="5000" w:type="pct"/>
          </w:tcPr>
          <w:p w:rsidR="002D3553" w:rsidRPr="00511F83" w:rsidRDefault="002D3553">
            <w:pPr>
              <w:rPr>
                <w:rFonts w:ascii="Verdana" w:hAnsi="Verdana"/>
                <w:b/>
              </w:rPr>
            </w:pPr>
            <w:r w:rsidRPr="00511F83">
              <w:rPr>
                <w:rFonts w:ascii="Verdana" w:hAnsi="Verdana"/>
                <w:b/>
              </w:rPr>
              <w:t>Eventuelt</w:t>
            </w:r>
          </w:p>
        </w:tc>
      </w:tr>
    </w:tbl>
    <w:p w:rsidR="003849B4" w:rsidRPr="00EC47F2" w:rsidRDefault="003849B4" w:rsidP="009A199E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9" w:name="EksterneKopiTilTabell"/>
      <w:bookmarkEnd w:id="9"/>
    </w:p>
    <w:p w:rsidR="00726B30" w:rsidRDefault="00726B30">
      <w:pPr>
        <w:rPr>
          <w:rFonts w:ascii="Verdana" w:hAnsi="Verdana"/>
        </w:rPr>
      </w:pPr>
      <w:bookmarkStart w:id="10" w:name="InternKopiTilTabell"/>
      <w:bookmarkEnd w:id="10"/>
    </w:p>
    <w:p w:rsidR="005C61D5" w:rsidRPr="00EC47F2" w:rsidRDefault="005C61D5" w:rsidP="00131619">
      <w:pPr>
        <w:rPr>
          <w:rFonts w:ascii="Verdana" w:hAnsi="Verdana"/>
        </w:rPr>
      </w:pPr>
    </w:p>
    <w:sectPr w:rsidR="005C61D5" w:rsidRPr="00EC47F2" w:rsidSect="00D916BC">
      <w:headerReference w:type="default" r:id="rId9"/>
      <w:footerReference w:type="first" r:id="rId10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13" w:rsidRDefault="00750513">
      <w:r>
        <w:separator/>
      </w:r>
    </w:p>
  </w:endnote>
  <w:endnote w:type="continuationSeparator" w:id="0">
    <w:p w:rsidR="00750513" w:rsidRDefault="0075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DC3002" w:rsidRPr="00020A07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3849B4" w:rsidRDefault="00DC300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DC3002" w:rsidRPr="004164D3" w:rsidRDefault="00DC300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13" w:rsidRDefault="00750513">
      <w:r>
        <w:separator/>
      </w:r>
    </w:p>
  </w:footnote>
  <w:footnote w:type="continuationSeparator" w:id="0">
    <w:p w:rsidR="00750513" w:rsidRDefault="0075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DA1184">
      <w:tc>
        <w:tcPr>
          <w:tcW w:w="5031" w:type="dxa"/>
        </w:tcPr>
        <w:p w:rsidR="00DA1184" w:rsidRDefault="00DA118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A1184" w:rsidRDefault="00DA118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083295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083295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</w:p>
      </w:tc>
    </w:tr>
  </w:tbl>
  <w:p w:rsidR="00DA1184" w:rsidRDefault="0075088D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581"/>
    <w:multiLevelType w:val="hybridMultilevel"/>
    <w:tmpl w:val="71B0C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A2AB3"/>
    <w:multiLevelType w:val="hybridMultilevel"/>
    <w:tmpl w:val="F5F8EF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7E71"/>
    <w:multiLevelType w:val="hybridMultilevel"/>
    <w:tmpl w:val="E75A2FB8"/>
    <w:lvl w:ilvl="0" w:tplc="13B43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2155"/>
    <w:multiLevelType w:val="hybridMultilevel"/>
    <w:tmpl w:val="5CEE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05234"/>
    <w:rsid w:val="00005461"/>
    <w:rsid w:val="00060B41"/>
    <w:rsid w:val="0007331E"/>
    <w:rsid w:val="00073E68"/>
    <w:rsid w:val="00076BCF"/>
    <w:rsid w:val="00083295"/>
    <w:rsid w:val="00087243"/>
    <w:rsid w:val="00087A91"/>
    <w:rsid w:val="000C57C6"/>
    <w:rsid w:val="000E3136"/>
    <w:rsid w:val="000F7390"/>
    <w:rsid w:val="001113C8"/>
    <w:rsid w:val="00131619"/>
    <w:rsid w:val="00136E1C"/>
    <w:rsid w:val="00136E8E"/>
    <w:rsid w:val="001624D3"/>
    <w:rsid w:val="001A14CD"/>
    <w:rsid w:val="001A4B3E"/>
    <w:rsid w:val="001A7556"/>
    <w:rsid w:val="001D3734"/>
    <w:rsid w:val="00285CD5"/>
    <w:rsid w:val="002D3553"/>
    <w:rsid w:val="002D5603"/>
    <w:rsid w:val="00310AE6"/>
    <w:rsid w:val="0032576C"/>
    <w:rsid w:val="0033328D"/>
    <w:rsid w:val="003520E8"/>
    <w:rsid w:val="003849B4"/>
    <w:rsid w:val="003E112B"/>
    <w:rsid w:val="00402EFC"/>
    <w:rsid w:val="004164D3"/>
    <w:rsid w:val="00436DB0"/>
    <w:rsid w:val="00441E1D"/>
    <w:rsid w:val="0044580D"/>
    <w:rsid w:val="00467E59"/>
    <w:rsid w:val="004736D7"/>
    <w:rsid w:val="0048196C"/>
    <w:rsid w:val="00485E43"/>
    <w:rsid w:val="004C1E18"/>
    <w:rsid w:val="004C23C7"/>
    <w:rsid w:val="004D391B"/>
    <w:rsid w:val="004F046B"/>
    <w:rsid w:val="00511424"/>
    <w:rsid w:val="00511F83"/>
    <w:rsid w:val="00527641"/>
    <w:rsid w:val="0053479C"/>
    <w:rsid w:val="0053560E"/>
    <w:rsid w:val="0053774A"/>
    <w:rsid w:val="0059256B"/>
    <w:rsid w:val="005C33C2"/>
    <w:rsid w:val="005C61D5"/>
    <w:rsid w:val="005C693E"/>
    <w:rsid w:val="005F294A"/>
    <w:rsid w:val="0068578C"/>
    <w:rsid w:val="00696986"/>
    <w:rsid w:val="006A6BA3"/>
    <w:rsid w:val="006C0301"/>
    <w:rsid w:val="0072316F"/>
    <w:rsid w:val="00726B30"/>
    <w:rsid w:val="00731C3B"/>
    <w:rsid w:val="00750513"/>
    <w:rsid w:val="0075088D"/>
    <w:rsid w:val="0075499E"/>
    <w:rsid w:val="00764239"/>
    <w:rsid w:val="007A3D6F"/>
    <w:rsid w:val="007B795F"/>
    <w:rsid w:val="007D1BB9"/>
    <w:rsid w:val="007E1BD2"/>
    <w:rsid w:val="008229CE"/>
    <w:rsid w:val="00847076"/>
    <w:rsid w:val="00857109"/>
    <w:rsid w:val="00877FB1"/>
    <w:rsid w:val="008A2E98"/>
    <w:rsid w:val="008D50BC"/>
    <w:rsid w:val="008D6936"/>
    <w:rsid w:val="00914481"/>
    <w:rsid w:val="0092368C"/>
    <w:rsid w:val="00954DB5"/>
    <w:rsid w:val="00970598"/>
    <w:rsid w:val="00974325"/>
    <w:rsid w:val="009A199E"/>
    <w:rsid w:val="009D3A38"/>
    <w:rsid w:val="009D5A07"/>
    <w:rsid w:val="00A059C8"/>
    <w:rsid w:val="00AC3688"/>
    <w:rsid w:val="00AC3B85"/>
    <w:rsid w:val="00B31B35"/>
    <w:rsid w:val="00BB7E5D"/>
    <w:rsid w:val="00BD349E"/>
    <w:rsid w:val="00BE406B"/>
    <w:rsid w:val="00BE7A5E"/>
    <w:rsid w:val="00BF552C"/>
    <w:rsid w:val="00C00619"/>
    <w:rsid w:val="00C01DDE"/>
    <w:rsid w:val="00C674A2"/>
    <w:rsid w:val="00C7392C"/>
    <w:rsid w:val="00C91567"/>
    <w:rsid w:val="00CA3BB5"/>
    <w:rsid w:val="00CC18CD"/>
    <w:rsid w:val="00CF6312"/>
    <w:rsid w:val="00D27CCB"/>
    <w:rsid w:val="00D64F42"/>
    <w:rsid w:val="00D771AA"/>
    <w:rsid w:val="00D84306"/>
    <w:rsid w:val="00D916BC"/>
    <w:rsid w:val="00DA1184"/>
    <w:rsid w:val="00DC3002"/>
    <w:rsid w:val="00DD0408"/>
    <w:rsid w:val="00DF49B1"/>
    <w:rsid w:val="00E364C2"/>
    <w:rsid w:val="00E736AF"/>
    <w:rsid w:val="00E83F23"/>
    <w:rsid w:val="00EA0356"/>
    <w:rsid w:val="00EA25D4"/>
    <w:rsid w:val="00EC3484"/>
    <w:rsid w:val="00EC47F2"/>
    <w:rsid w:val="00F125B2"/>
    <w:rsid w:val="00F16949"/>
    <w:rsid w:val="00F557A9"/>
    <w:rsid w:val="00F6763E"/>
    <w:rsid w:val="00F74B5E"/>
    <w:rsid w:val="00F74D12"/>
    <w:rsid w:val="00F7578C"/>
    <w:rsid w:val="00FA59B0"/>
    <w:rsid w:val="00FA6C55"/>
    <w:rsid w:val="00FB0C25"/>
    <w:rsid w:val="00FB379D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9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91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D391B"/>
    <w:rPr>
      <w:b/>
      <w:bCs/>
    </w:rPr>
  </w:style>
  <w:style w:type="paragraph" w:customStyle="1" w:styleId="Default">
    <w:name w:val="Default"/>
    <w:basedOn w:val="Normal"/>
    <w:rsid w:val="00F125B2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ligerad.no/u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Monika Thollefsen</cp:lastModifiedBy>
  <cp:revision>2</cp:revision>
  <cp:lastPrinted>2010-06-16T12:59:00Z</cp:lastPrinted>
  <dcterms:created xsi:type="dcterms:W3CDTF">2015-11-03T20:41:00Z</dcterms:created>
  <dcterms:modified xsi:type="dcterms:W3CDTF">2015-11-03T20:41:00Z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