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459"/>
        <w:gridCol w:w="817"/>
        <w:gridCol w:w="601"/>
        <w:gridCol w:w="1275"/>
        <w:gridCol w:w="2837"/>
      </w:tblGrid>
      <w:tr w:rsidR="00974325" w:rsidRPr="00EC47F2" w:rsidTr="00FD305B">
        <w:tc>
          <w:tcPr>
            <w:tcW w:w="4678" w:type="dxa"/>
            <w:gridSpan w:val="3"/>
          </w:tcPr>
          <w:p w:rsidR="00F16949" w:rsidRPr="00EC47F2" w:rsidRDefault="00F16949" w:rsidP="00FD305B">
            <w:pPr>
              <w:rPr>
                <w:szCs w:val="16"/>
              </w:rPr>
            </w:pPr>
            <w:r w:rsidRPr="00EC47F2">
              <w:t xml:space="preserve">Vår saksbehandler: </w:t>
            </w:r>
            <w:r w:rsidR="001113C8">
              <w:t>Monika Thollefsen</w:t>
            </w:r>
          </w:p>
          <w:p w:rsidR="00F16949" w:rsidRPr="00EC47F2" w:rsidRDefault="00F16949" w:rsidP="00FD305B">
            <w:pPr>
              <w:rPr>
                <w:noProof/>
              </w:rPr>
            </w:pPr>
          </w:p>
        </w:tc>
        <w:tc>
          <w:tcPr>
            <w:tcW w:w="1418" w:type="dxa"/>
            <w:gridSpan w:val="2"/>
          </w:tcPr>
          <w:p w:rsidR="00F16949" w:rsidRPr="004736D7" w:rsidRDefault="00F16949" w:rsidP="00FD305B"/>
          <w:p w:rsidR="00F16949" w:rsidRDefault="00954DB5" w:rsidP="00FD305B">
            <w:r>
              <w:t>Vår dato:</w:t>
            </w:r>
          </w:p>
          <w:p w:rsidR="00F16949" w:rsidRPr="00EC47F2" w:rsidRDefault="008E6667" w:rsidP="00FD305B">
            <w:bookmarkStart w:id="0" w:name="BREVDATO"/>
            <w:r>
              <w:t>11</w:t>
            </w:r>
            <w:bookmarkStart w:id="1" w:name="_GoBack"/>
            <w:bookmarkEnd w:id="1"/>
            <w:r w:rsidR="00B41944">
              <w:t>.01</w:t>
            </w:r>
            <w:r w:rsidR="00073E68" w:rsidRPr="00731C3B">
              <w:t>.201</w:t>
            </w:r>
            <w:bookmarkEnd w:id="0"/>
            <w:r w:rsidR="00B41944">
              <w:t>6</w:t>
            </w:r>
          </w:p>
          <w:p w:rsidR="004736D7" w:rsidRPr="00EC47F2" w:rsidRDefault="004736D7" w:rsidP="00FD305B">
            <w:pPr>
              <w:rPr>
                <w:szCs w:val="16"/>
              </w:rPr>
            </w:pPr>
            <w:r w:rsidRPr="00EC47F2">
              <w:t>Vår</w:t>
            </w:r>
            <w:r w:rsidRPr="00EC47F2">
              <w:rPr>
                <w:szCs w:val="16"/>
              </w:rPr>
              <w:t xml:space="preserve"> </w:t>
            </w:r>
            <w:r w:rsidRPr="00EC47F2">
              <w:t>referanse</w:t>
            </w:r>
            <w:r>
              <w:rPr>
                <w:szCs w:val="16"/>
              </w:rPr>
              <w:t>:</w:t>
            </w:r>
          </w:p>
          <w:p w:rsidR="004736D7" w:rsidRDefault="00073E68" w:rsidP="00FD305B">
            <w:pPr>
              <w:rPr>
                <w:noProof/>
              </w:rPr>
            </w:pPr>
            <w:bookmarkStart w:id="2" w:name="SAKSNR"/>
            <w:r w:rsidRPr="00632135">
              <w:rPr>
                <w:noProof/>
              </w:rPr>
              <w:t>201</w:t>
            </w:r>
            <w:r w:rsidR="00632135" w:rsidRPr="00632135">
              <w:rPr>
                <w:noProof/>
              </w:rPr>
              <w:t>6</w:t>
            </w:r>
            <w:r w:rsidRPr="00632135">
              <w:rPr>
                <w:noProof/>
              </w:rPr>
              <w:t>/</w:t>
            </w:r>
            <w:bookmarkEnd w:id="2"/>
            <w:r w:rsidR="00632135" w:rsidRPr="00632135">
              <w:rPr>
                <w:noProof/>
              </w:rPr>
              <w:t>149</w:t>
            </w:r>
          </w:p>
          <w:p w:rsidR="004736D7" w:rsidRPr="00EC47F2" w:rsidRDefault="004736D7" w:rsidP="00FD305B">
            <w:pPr>
              <w:rPr>
                <w:noProof/>
              </w:rPr>
            </w:pPr>
          </w:p>
        </w:tc>
        <w:tc>
          <w:tcPr>
            <w:tcW w:w="1275" w:type="dxa"/>
          </w:tcPr>
          <w:p w:rsidR="00F16949" w:rsidRPr="004736D7" w:rsidRDefault="00F16949" w:rsidP="00FD305B"/>
          <w:p w:rsidR="004736D7" w:rsidRDefault="004736D7" w:rsidP="00FD305B">
            <w:r w:rsidRPr="00EC47F2">
              <w:t>Deres dato:</w:t>
            </w:r>
          </w:p>
          <w:p w:rsidR="00F16949" w:rsidRPr="00EC47F2" w:rsidRDefault="00F16949" w:rsidP="00FD305B">
            <w:bookmarkStart w:id="3" w:name="REFDATO"/>
            <w:bookmarkEnd w:id="3"/>
          </w:p>
          <w:p w:rsidR="00F16949" w:rsidRPr="00EC47F2" w:rsidRDefault="00954DB5" w:rsidP="00FD305B">
            <w:r>
              <w:t>Deres referanse:</w:t>
            </w:r>
          </w:p>
          <w:p w:rsidR="00F16949" w:rsidRPr="00EC47F2" w:rsidRDefault="00F16949" w:rsidP="00FD305B">
            <w:pPr>
              <w:rPr>
                <w:noProof/>
              </w:rPr>
            </w:pPr>
            <w:bookmarkStart w:id="4" w:name="REF"/>
            <w:bookmarkEnd w:id="4"/>
          </w:p>
        </w:tc>
        <w:tc>
          <w:tcPr>
            <w:tcW w:w="2837" w:type="dxa"/>
          </w:tcPr>
          <w:p w:rsidR="00F16949" w:rsidRPr="00EC47F2" w:rsidRDefault="00726B30" w:rsidP="00FD305B">
            <w:r>
              <w:rPr>
                <w:noProof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FD305B"/>
        </w:tc>
        <w:tc>
          <w:tcPr>
            <w:tcW w:w="1758" w:type="dxa"/>
          </w:tcPr>
          <w:p w:rsidR="00F16949" w:rsidRPr="00EC47F2" w:rsidRDefault="00F16949" w:rsidP="00FD305B"/>
        </w:tc>
        <w:tc>
          <w:tcPr>
            <w:tcW w:w="1276" w:type="dxa"/>
            <w:gridSpan w:val="2"/>
          </w:tcPr>
          <w:p w:rsidR="00F16949" w:rsidRPr="00EC47F2" w:rsidRDefault="00F16949" w:rsidP="00FD305B"/>
        </w:tc>
        <w:tc>
          <w:tcPr>
            <w:tcW w:w="4713" w:type="dxa"/>
            <w:gridSpan w:val="3"/>
          </w:tcPr>
          <w:p w:rsidR="00F16949" w:rsidRPr="00EC47F2" w:rsidRDefault="00F16949" w:rsidP="00FD305B">
            <w:bookmarkStart w:id="5" w:name="UOFFPARAGRAF"/>
            <w:bookmarkEnd w:id="5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8F07D0" w:rsidTr="001D3734">
        <w:tc>
          <w:tcPr>
            <w:tcW w:w="5608" w:type="dxa"/>
          </w:tcPr>
          <w:p w:rsidR="001D3734" w:rsidRPr="001655AF" w:rsidRDefault="001D3734" w:rsidP="00FD305B">
            <w:r w:rsidRPr="001655AF">
              <w:rPr>
                <w:noProof/>
              </w:rPr>
              <w:t xml:space="preserve">Til  </w:t>
            </w:r>
          </w:p>
        </w:tc>
        <w:tc>
          <w:tcPr>
            <w:tcW w:w="4530" w:type="dxa"/>
          </w:tcPr>
          <w:p w:rsidR="001D3734" w:rsidRPr="001655AF" w:rsidRDefault="001D3734" w:rsidP="00FD305B">
            <w:r w:rsidRPr="001655AF">
              <w:rPr>
                <w:noProof/>
              </w:rPr>
              <w:t>Kopi til:</w:t>
            </w:r>
          </w:p>
        </w:tc>
      </w:tr>
      <w:tr w:rsidR="001D3734" w:rsidRPr="001655AF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1655AF" w:rsidRDefault="001D3734" w:rsidP="00FD305B">
            <w:bookmarkStart w:id="6" w:name="Tilstede"/>
            <w:bookmarkEnd w:id="6"/>
            <w: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1655AF" w:rsidRDefault="001D3734" w:rsidP="00FD305B">
            <w:bookmarkStart w:id="7" w:name="Kopi"/>
            <w:bookmarkEnd w:id="7"/>
            <w:proofErr w:type="gramStart"/>
            <w:r>
              <w:t>varamedlemmer</w:t>
            </w:r>
            <w:proofErr w:type="gramEnd"/>
          </w:p>
          <w:p w:rsidR="001D3734" w:rsidRPr="001655AF" w:rsidRDefault="001D3734" w:rsidP="00FD305B"/>
        </w:tc>
      </w:tr>
    </w:tbl>
    <w:p w:rsidR="001D3734" w:rsidRPr="001655AF" w:rsidRDefault="001D3734" w:rsidP="00FD305B">
      <w:bookmarkStart w:id="8" w:name="Overskrift"/>
      <w:bookmarkEnd w:id="8"/>
    </w:p>
    <w:p w:rsidR="001D3734" w:rsidRPr="00FD305B" w:rsidRDefault="001D3734" w:rsidP="00FD305B">
      <w:pPr>
        <w:pStyle w:val="Overskrift1"/>
        <w:rPr>
          <w:sz w:val="22"/>
          <w:szCs w:val="22"/>
        </w:rPr>
      </w:pPr>
      <w:r w:rsidRPr="00FD305B">
        <w:rPr>
          <w:sz w:val="22"/>
          <w:szCs w:val="22"/>
        </w:rPr>
        <w:t xml:space="preserve">Innkalling til møte i Faglig råd for design og håndverk </w:t>
      </w:r>
      <w:r w:rsidR="00B41944" w:rsidRPr="00FD305B">
        <w:rPr>
          <w:sz w:val="22"/>
          <w:szCs w:val="22"/>
        </w:rPr>
        <w:t>18</w:t>
      </w:r>
      <w:r w:rsidR="005F294A" w:rsidRPr="00FD305B">
        <w:rPr>
          <w:sz w:val="22"/>
          <w:szCs w:val="22"/>
        </w:rPr>
        <w:t xml:space="preserve">. </w:t>
      </w:r>
      <w:r w:rsidR="00B41944" w:rsidRPr="00FD305B">
        <w:rPr>
          <w:sz w:val="22"/>
          <w:szCs w:val="22"/>
        </w:rPr>
        <w:t>januar</w:t>
      </w:r>
      <w:r w:rsidR="005F294A" w:rsidRPr="00FD305B">
        <w:rPr>
          <w:sz w:val="22"/>
          <w:szCs w:val="22"/>
        </w:rPr>
        <w:t xml:space="preserve"> </w:t>
      </w:r>
      <w:r w:rsidR="00B41944" w:rsidRPr="00FD305B">
        <w:rPr>
          <w:sz w:val="22"/>
          <w:szCs w:val="22"/>
        </w:rPr>
        <w:t>2016</w:t>
      </w:r>
    </w:p>
    <w:p w:rsidR="001D3734" w:rsidRPr="004B5AE6" w:rsidRDefault="001D3734" w:rsidP="00FD305B"/>
    <w:p w:rsidR="001D3734" w:rsidRPr="00C51910" w:rsidRDefault="001D3734" w:rsidP="00FD305B">
      <w:r w:rsidRPr="00C51910">
        <w:t xml:space="preserve">Møtested: </w:t>
      </w:r>
      <w:r w:rsidRPr="00DD0408">
        <w:t>Ut</w:t>
      </w:r>
      <w:r w:rsidR="005F294A" w:rsidRPr="00DD0408">
        <w:t xml:space="preserve">danningsdirektoratet, møterom </w:t>
      </w:r>
      <w:r w:rsidR="00B41944">
        <w:t>4</w:t>
      </w:r>
      <w:r w:rsidR="00DD0408">
        <w:t>, 1.et</w:t>
      </w:r>
      <w:r w:rsidRPr="00DD0408">
        <w:t>.</w:t>
      </w:r>
    </w:p>
    <w:p w:rsidR="003849B4" w:rsidRDefault="001D3734" w:rsidP="00FD305B">
      <w:r w:rsidRPr="004B5AE6">
        <w:t>Møtetid</w:t>
      </w:r>
      <w:r w:rsidRPr="0007331E">
        <w:t xml:space="preserve">: </w:t>
      </w:r>
      <w:r w:rsidR="0007331E" w:rsidRPr="0007331E">
        <w:t>Kl.10.00-16</w:t>
      </w:r>
      <w:r w:rsidR="00B41944">
        <w:t>.00, lunsj kl. 12</w:t>
      </w:r>
      <w:r w:rsidRPr="0007331E">
        <w:t>.</w:t>
      </w:r>
      <w:r w:rsidR="00B41944">
        <w:t>0</w:t>
      </w:r>
      <w:r w:rsidRPr="0007331E">
        <w:t>0.</w:t>
      </w:r>
      <w:r w:rsidR="00731C3B">
        <w:t xml:space="preserve"> </w:t>
      </w:r>
    </w:p>
    <w:p w:rsidR="003849B4" w:rsidRPr="00EC47F2" w:rsidRDefault="003849B4" w:rsidP="00FD305B">
      <w:bookmarkStart w:id="9" w:name="Start"/>
      <w:bookmarkEnd w:id="9"/>
    </w:p>
    <w:p w:rsidR="003849B4" w:rsidRPr="00FD305B" w:rsidRDefault="001D3734" w:rsidP="00FD305B">
      <w:pPr>
        <w:pStyle w:val="Undertittel"/>
      </w:pPr>
      <w:r w:rsidRPr="00FD305B">
        <w:t>Saksliste</w:t>
      </w:r>
    </w:p>
    <w:p w:rsidR="001D3734" w:rsidRDefault="00B41944" w:rsidP="00FD305B">
      <w:r>
        <w:t>Utviklingsredegjørelsen del 2</w:t>
      </w:r>
    </w:p>
    <w:p w:rsidR="001624D3" w:rsidRDefault="00B41944" w:rsidP="00FD305B">
      <w:r>
        <w:t>Søknad om fylkesbesøk</w:t>
      </w:r>
    </w:p>
    <w:p w:rsidR="00B41944" w:rsidRDefault="00B41944" w:rsidP="00FD305B">
      <w:r>
        <w:t xml:space="preserve">Innspill fra </w:t>
      </w:r>
      <w:r w:rsidR="00E12882">
        <w:t>det norske frisørlærerforbundet</w:t>
      </w:r>
    </w:p>
    <w:p w:rsidR="00D11078" w:rsidRDefault="00D11078" w:rsidP="00FD305B"/>
    <w:p w:rsidR="001D3734" w:rsidRDefault="00B41944" w:rsidP="00FD305B">
      <w:r w:rsidRPr="00FD305B">
        <w:rPr>
          <w:rStyle w:val="UndertittelTegn"/>
        </w:rPr>
        <w:t>Sak 1/1</w:t>
      </w:r>
      <w:r w:rsidR="00D11078" w:rsidRPr="00FD305B">
        <w:rPr>
          <w:rStyle w:val="UndertittelTegn"/>
        </w:rPr>
        <w:t>6</w:t>
      </w:r>
      <w:r w:rsidR="001113C8" w:rsidRPr="00FD305B">
        <w:rPr>
          <w:rStyle w:val="UndertittelTegn"/>
        </w:rPr>
        <w:t xml:space="preserve"> </w:t>
      </w:r>
      <w:r w:rsidR="0053774A" w:rsidRPr="00FD305B">
        <w:rPr>
          <w:rStyle w:val="UndertittelTegn"/>
        </w:rPr>
        <w:t>U</w:t>
      </w:r>
      <w:r w:rsidR="005F294A" w:rsidRPr="00FD305B">
        <w:rPr>
          <w:rStyle w:val="UndertittelTegn"/>
        </w:rPr>
        <w:t xml:space="preserve">tviklingsredegjørelsen </w:t>
      </w:r>
      <w:r w:rsidRPr="00FD305B">
        <w:rPr>
          <w:rStyle w:val="UndertittelTegn"/>
        </w:rPr>
        <w:t>del 2</w:t>
      </w:r>
      <w:r w:rsidR="0053774A" w:rsidRPr="00FD305B">
        <w:rPr>
          <w:rStyle w:val="UndertittelTegn"/>
        </w:rPr>
        <w:t xml:space="preserve"> </w:t>
      </w:r>
      <w:r w:rsidRPr="00FD305B">
        <w:rPr>
          <w:rStyle w:val="UndertittelTegn"/>
        </w:rPr>
        <w:t>– vurdere og foreslå endringer i strukturen for design og</w:t>
      </w:r>
      <w:r>
        <w:t xml:space="preserve"> </w:t>
      </w:r>
      <w:r w:rsidRPr="00FD305B">
        <w:rPr>
          <w:rStyle w:val="UndertittelTegn"/>
        </w:rPr>
        <w:t>håndverk</w:t>
      </w:r>
    </w:p>
    <w:p w:rsidR="00B41944" w:rsidRDefault="00B41944" w:rsidP="00FD305B"/>
    <w:p w:rsidR="00B35190" w:rsidRDefault="00B35190" w:rsidP="00FD305B">
      <w:r w:rsidRPr="00B35190">
        <w:t>I tråd med vedtaket fra rådsmøtet 9. november, har AU utarbe</w:t>
      </w:r>
      <w:r w:rsidR="00921B35">
        <w:t xml:space="preserve">idet et forslag til plan for arbeidet med </w:t>
      </w:r>
      <w:r w:rsidRPr="00B35190">
        <w:t xml:space="preserve">utviklingsredegjørelsen del 2 </w:t>
      </w:r>
      <w:r w:rsidR="00921B35">
        <w:t>som gir</w:t>
      </w:r>
      <w:r w:rsidRPr="00B35190">
        <w:t xml:space="preserve"> temaer </w:t>
      </w:r>
      <w:r w:rsidR="00921B35">
        <w:t>for</w:t>
      </w:r>
      <w:r w:rsidRPr="00B35190">
        <w:t xml:space="preserve"> hvert møte. </w:t>
      </w:r>
    </w:p>
    <w:p w:rsidR="00D11078" w:rsidRPr="00B35190" w:rsidRDefault="00D11078" w:rsidP="00FD305B"/>
    <w:tbl>
      <w:tblPr>
        <w:tblStyle w:val="Tabellrutenett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420"/>
        <w:gridCol w:w="7082"/>
      </w:tblGrid>
      <w:tr w:rsidR="00910184" w:rsidRPr="00921B35" w:rsidTr="00910184">
        <w:tc>
          <w:tcPr>
            <w:tcW w:w="1420" w:type="dxa"/>
          </w:tcPr>
          <w:p w:rsidR="00910184" w:rsidRPr="00910184" w:rsidRDefault="00910184" w:rsidP="00910184">
            <w:pPr>
              <w:rPr>
                <w:b/>
              </w:rPr>
            </w:pPr>
            <w:r w:rsidRPr="00910184">
              <w:rPr>
                <w:b/>
              </w:rPr>
              <w:t>Møtedato</w:t>
            </w:r>
          </w:p>
        </w:tc>
        <w:tc>
          <w:tcPr>
            <w:tcW w:w="7082" w:type="dxa"/>
          </w:tcPr>
          <w:p w:rsidR="00910184" w:rsidRPr="00910184" w:rsidRDefault="00910184" w:rsidP="00910184">
            <w:pPr>
              <w:rPr>
                <w:b/>
              </w:rPr>
            </w:pPr>
            <w:r w:rsidRPr="00910184">
              <w:rPr>
                <w:b/>
              </w:rPr>
              <w:t>Tema</w:t>
            </w:r>
          </w:p>
        </w:tc>
      </w:tr>
      <w:tr w:rsidR="00910184" w:rsidRPr="00B35190" w:rsidTr="00910184">
        <w:tc>
          <w:tcPr>
            <w:tcW w:w="1420" w:type="dxa"/>
          </w:tcPr>
          <w:p w:rsidR="00910184" w:rsidRPr="00B35190" w:rsidRDefault="00910184" w:rsidP="00910184">
            <w:r w:rsidRPr="00B35190">
              <w:t>18. januar</w:t>
            </w:r>
          </w:p>
        </w:tc>
        <w:tc>
          <w:tcPr>
            <w:tcW w:w="7082" w:type="dxa"/>
          </w:tcPr>
          <w:p w:rsidR="00910184" w:rsidRPr="00B35190" w:rsidRDefault="00910184" w:rsidP="00910184">
            <w:r w:rsidRPr="00B35190">
              <w:t xml:space="preserve">Vurdere og foreslå endringer i strukturen for design og håndverk. Vurdere splitting av Vg1, vurdere modellen fra UR 2013. </w:t>
            </w:r>
          </w:p>
        </w:tc>
      </w:tr>
      <w:tr w:rsidR="00910184" w:rsidRPr="00B35190" w:rsidTr="00910184">
        <w:tc>
          <w:tcPr>
            <w:tcW w:w="1420" w:type="dxa"/>
          </w:tcPr>
          <w:p w:rsidR="00910184" w:rsidRPr="00B35190" w:rsidRDefault="00910184" w:rsidP="00910184">
            <w:r w:rsidRPr="00B35190">
              <w:t>15. februar</w:t>
            </w:r>
          </w:p>
        </w:tc>
        <w:tc>
          <w:tcPr>
            <w:tcW w:w="7082" w:type="dxa"/>
          </w:tcPr>
          <w:p w:rsidR="00910184" w:rsidRPr="00B35190" w:rsidRDefault="00910184" w:rsidP="00910184">
            <w:r w:rsidRPr="00B35190">
              <w:t>Vurdere behov for kompetansemiljøer, regionale sentre eller lignende. Definere og drøfte struktur og organisering.</w:t>
            </w:r>
          </w:p>
        </w:tc>
      </w:tr>
      <w:tr w:rsidR="00910184" w:rsidRPr="00B35190" w:rsidTr="00910184">
        <w:tc>
          <w:tcPr>
            <w:tcW w:w="1420" w:type="dxa"/>
          </w:tcPr>
          <w:p w:rsidR="00910184" w:rsidRPr="00B35190" w:rsidRDefault="00910184" w:rsidP="00910184">
            <w:r w:rsidRPr="00B35190">
              <w:t>14. mars</w:t>
            </w:r>
          </w:p>
        </w:tc>
        <w:tc>
          <w:tcPr>
            <w:tcW w:w="7082" w:type="dxa"/>
          </w:tcPr>
          <w:p w:rsidR="00910184" w:rsidRPr="00B35190" w:rsidRDefault="00910184" w:rsidP="00910184">
            <w:r w:rsidRPr="00B35190">
              <w:t>Vurdere enkeltfag i en ny struktur.</w:t>
            </w:r>
          </w:p>
        </w:tc>
      </w:tr>
      <w:tr w:rsidR="00910184" w:rsidRPr="00B35190" w:rsidTr="00910184">
        <w:tc>
          <w:tcPr>
            <w:tcW w:w="1420" w:type="dxa"/>
          </w:tcPr>
          <w:p w:rsidR="00910184" w:rsidRPr="00B35190" w:rsidRDefault="00910184" w:rsidP="00910184">
            <w:r w:rsidRPr="00B35190">
              <w:t>15. mars</w:t>
            </w:r>
          </w:p>
        </w:tc>
        <w:tc>
          <w:tcPr>
            <w:tcW w:w="7082" w:type="dxa"/>
          </w:tcPr>
          <w:p w:rsidR="00910184" w:rsidRPr="00B35190" w:rsidRDefault="00910184" w:rsidP="00910184">
            <w:r w:rsidRPr="00B35190">
              <w:t>Ferdigstille utviklingsredegjørelsen del 2. Vurdere innstillingen fra yrkesfaglig utvalg 5. Vurdere og foreslå endringer for de små verneverdige fagene. Dialogmøte med maritime fag?</w:t>
            </w:r>
          </w:p>
        </w:tc>
      </w:tr>
      <w:tr w:rsidR="00910184" w:rsidRPr="00B35190" w:rsidTr="00910184">
        <w:tc>
          <w:tcPr>
            <w:tcW w:w="1420" w:type="dxa"/>
          </w:tcPr>
          <w:p w:rsidR="00910184" w:rsidRPr="00B35190" w:rsidRDefault="00910184" w:rsidP="00910184">
            <w:r w:rsidRPr="00B35190">
              <w:t>5. april?</w:t>
            </w:r>
          </w:p>
        </w:tc>
        <w:tc>
          <w:tcPr>
            <w:tcW w:w="7082" w:type="dxa"/>
          </w:tcPr>
          <w:p w:rsidR="00910184" w:rsidRPr="00B35190" w:rsidRDefault="00910184" w:rsidP="00910184">
            <w:r w:rsidRPr="00B35190">
              <w:t xml:space="preserve">Videre arbeid med de små verneverdige fagene – rådet har fått utsatt frist til 15. mai for å komme med endringsforslag for disse fagene. </w:t>
            </w:r>
          </w:p>
        </w:tc>
      </w:tr>
    </w:tbl>
    <w:p w:rsidR="00910184" w:rsidRDefault="00910184" w:rsidP="00FD305B"/>
    <w:p w:rsidR="00910184" w:rsidRDefault="00910184" w:rsidP="00FD305B"/>
    <w:p w:rsidR="00910184" w:rsidRDefault="00910184" w:rsidP="00FD305B"/>
    <w:p w:rsidR="00910184" w:rsidRDefault="00910184" w:rsidP="00FD305B"/>
    <w:p w:rsidR="00910184" w:rsidRDefault="00910184" w:rsidP="00FD305B"/>
    <w:p w:rsidR="00910184" w:rsidRDefault="00910184" w:rsidP="00FD305B"/>
    <w:p w:rsidR="00910184" w:rsidRDefault="00910184" w:rsidP="00FD305B"/>
    <w:p w:rsidR="00910184" w:rsidRDefault="00910184" w:rsidP="00FD305B"/>
    <w:p w:rsidR="00910184" w:rsidRDefault="00910184" w:rsidP="00FD305B"/>
    <w:p w:rsidR="00910184" w:rsidRDefault="00910184" w:rsidP="00FD305B"/>
    <w:p w:rsidR="00910184" w:rsidRDefault="00910184" w:rsidP="00FD305B"/>
    <w:p w:rsidR="00910184" w:rsidRDefault="00910184" w:rsidP="00FD305B"/>
    <w:p w:rsidR="00910184" w:rsidRDefault="00910184" w:rsidP="00FD305B"/>
    <w:p w:rsidR="00910184" w:rsidRDefault="00D11078" w:rsidP="00FD305B">
      <w:r>
        <w:t>Tema for møtet 18. januar er «</w:t>
      </w:r>
      <w:r w:rsidRPr="00921B35">
        <w:t>Vurdere og foreslå endringer i str</w:t>
      </w:r>
      <w:r>
        <w:t xml:space="preserve">ukturen for design og håndverk. </w:t>
      </w:r>
      <w:r w:rsidRPr="00921B35">
        <w:t>Vurdere splitting av Vg1, vurdere modellen fra UR 2013</w:t>
      </w:r>
      <w:r>
        <w:t>»</w:t>
      </w:r>
      <w:r w:rsidRPr="00921B35">
        <w:t>.</w:t>
      </w:r>
      <w:r w:rsidR="004C13D8">
        <w:t xml:space="preserve"> </w:t>
      </w:r>
    </w:p>
    <w:p w:rsidR="00910184" w:rsidRDefault="00910184" w:rsidP="00FD305B"/>
    <w:p w:rsidR="00910184" w:rsidRPr="00910184" w:rsidRDefault="00910184" w:rsidP="00FD305B">
      <w:r w:rsidRPr="00910184">
        <w:t>D</w:t>
      </w:r>
      <w:r w:rsidR="004C13D8" w:rsidRPr="00910184">
        <w:t>okumentet</w:t>
      </w:r>
      <w:r w:rsidR="00D11078" w:rsidRPr="00910184">
        <w:t xml:space="preserve"> «Forberedelse til rådsmøtet 18. januar»</w:t>
      </w:r>
      <w:r w:rsidRPr="00910184">
        <w:t>, inneholder en utdyping av temaet som skal diskuteres og punkter til diskusjon på møtet.</w:t>
      </w:r>
      <w:r w:rsidR="00D11078" w:rsidRPr="00910184">
        <w:t xml:space="preserve"> </w:t>
      </w:r>
      <w:r w:rsidRPr="00910184">
        <w:t>Dokumentet er vedlagt innkallingen. D</w:t>
      </w:r>
      <w:r w:rsidR="00D11078" w:rsidRPr="00910184">
        <w:t>et er viktig at alle er godt forberedt til møtet og har diskutert de</w:t>
      </w:r>
      <w:r w:rsidR="004C13D8" w:rsidRPr="00910184">
        <w:t xml:space="preserve"> ulike alternativene i vedlegget</w:t>
      </w:r>
      <w:r w:rsidR="00D11078" w:rsidRPr="00910184">
        <w:t xml:space="preserve"> med sin organisasjon. </w:t>
      </w:r>
    </w:p>
    <w:p w:rsidR="00910184" w:rsidRDefault="00910184" w:rsidP="00FD305B"/>
    <w:p w:rsidR="00632135" w:rsidRDefault="00632135" w:rsidP="00FD305B">
      <w:r>
        <w:t xml:space="preserve">Vedlagt innkallingen er også oversikt over innspill som har kommet inn til gjennomgangen av tilbudsstrukturen og som gjelder design og håndverk. </w:t>
      </w:r>
    </w:p>
    <w:p w:rsidR="00632135" w:rsidRDefault="00632135" w:rsidP="00FD305B"/>
    <w:p w:rsidR="00D11078" w:rsidRDefault="00D11078" w:rsidP="00FD305B">
      <w:r>
        <w:t xml:space="preserve">Alle endringsforslag må begrunnes i tråd med kapittel 2.3 i </w:t>
      </w:r>
      <w:hyperlink r:id="rId8" w:history="1">
        <w:r w:rsidR="00632135" w:rsidRPr="00632135">
          <w:rPr>
            <w:rStyle w:val="Hyperkobling"/>
          </w:rPr>
          <w:t>Retningslinjer</w:t>
        </w:r>
        <w:r w:rsidRPr="00632135">
          <w:rPr>
            <w:rStyle w:val="Hyperkobling"/>
          </w:rPr>
          <w:t xml:space="preserve"> for samarbeidet mellom SRY, de faglige rådene og </w:t>
        </w:r>
        <w:r w:rsidR="00632135" w:rsidRPr="00632135">
          <w:rPr>
            <w:rStyle w:val="Hyperkobling"/>
          </w:rPr>
          <w:t>Utdanningsdirektoratet</w:t>
        </w:r>
      </w:hyperlink>
      <w:r>
        <w:t xml:space="preserve">. </w:t>
      </w:r>
    </w:p>
    <w:p w:rsidR="00D11078" w:rsidRDefault="00D11078" w:rsidP="00FD305B"/>
    <w:p w:rsidR="00D11078" w:rsidRDefault="00D11078" w:rsidP="00FD305B">
      <w:r>
        <w:lastRenderedPageBreak/>
        <w:t xml:space="preserve">Leder for yrkesfaglig utvalg 5, Kirsti Kolle Grøndal vil orientere rådet om arbeidet i utvalget for immateriell kulturarv og verneverdige fag. </w:t>
      </w:r>
      <w:r w:rsidR="00910184">
        <w:t>Hun kommer før lunsj.</w:t>
      </w:r>
    </w:p>
    <w:p w:rsidR="00D11078" w:rsidRDefault="00D11078" w:rsidP="00FD305B">
      <w:r>
        <w:t xml:space="preserve"> </w:t>
      </w:r>
    </w:p>
    <w:p w:rsidR="00AD2018" w:rsidRDefault="00D11078" w:rsidP="00FD305B">
      <w:pPr>
        <w:rPr>
          <w:rFonts w:eastAsia="Calibri"/>
          <w:lang w:eastAsia="en-US"/>
        </w:rPr>
      </w:pPr>
      <w:r>
        <w:rPr>
          <w:rFonts w:asciiTheme="minorHAnsi" w:hAnsiTheme="minorHAnsi"/>
          <w:b/>
        </w:rPr>
        <w:t>2/16 Søknad om fylkesbesøk</w:t>
      </w:r>
      <w:r>
        <w:rPr>
          <w:rFonts w:asciiTheme="minorHAnsi" w:hAnsiTheme="minorHAnsi"/>
          <w:b/>
        </w:rPr>
        <w:br/>
      </w:r>
      <w:r w:rsidR="00AD2018" w:rsidRPr="00AD2018">
        <w:rPr>
          <w:rFonts w:eastAsia="Calibri"/>
          <w:lang w:eastAsia="en-US"/>
        </w:rPr>
        <w:t>Utdanningsdirektoratet besluttet i 2015 at de faglige rådenes årlige fylkesbesøk og utenlands studiereiser ikke skulle gjennomføres i 2015. Årsaken var at direktoratet mente det var viktig å konsentrere og prioritere ressurser bl. a til arbeidet med gjennomgangen av tilbudsstrukturen i 2015.</w:t>
      </w:r>
      <w:r w:rsidR="00AD2018">
        <w:rPr>
          <w:rFonts w:eastAsia="Calibri"/>
          <w:lang w:eastAsia="en-US"/>
        </w:rPr>
        <w:t xml:space="preserve"> </w:t>
      </w:r>
      <w:r w:rsidR="00AD2018" w:rsidRPr="00AD2018">
        <w:rPr>
          <w:rFonts w:eastAsia="Calibri"/>
          <w:lang w:eastAsia="en-US"/>
        </w:rPr>
        <w:t xml:space="preserve">De faglige rådene vil også i 2016 ha store arbeidsoppgaver knyttet til tilbudsstrukturen (spesielt første halvdel) men noen av de faglige rådene har allikevel uttrykt ønske om å gjennomføre fylkesbesøk i 2016. </w:t>
      </w:r>
    </w:p>
    <w:p w:rsidR="00AD2018" w:rsidRPr="00AD2018" w:rsidRDefault="00AD2018" w:rsidP="00FD305B">
      <w:pPr>
        <w:rPr>
          <w:rFonts w:eastAsia="Calibri"/>
          <w:lang w:eastAsia="en-US"/>
        </w:rPr>
      </w:pPr>
    </w:p>
    <w:p w:rsidR="00AD2018" w:rsidRPr="00AD2018" w:rsidRDefault="00AD2018" w:rsidP="00FD305B">
      <w:pPr>
        <w:rPr>
          <w:rFonts w:eastAsia="Calibri"/>
          <w:lang w:eastAsia="en-US"/>
        </w:rPr>
      </w:pPr>
      <w:r w:rsidRPr="00AD2018">
        <w:rPr>
          <w:rFonts w:eastAsia="Calibri"/>
          <w:lang w:eastAsia="en-US"/>
        </w:rPr>
        <w:t xml:space="preserve">Sekretariatet ønsker en tilbakemelding på hvilke råd som ønsker å gjennomføre fylkesbesøk siste halvdel 2016. </w:t>
      </w:r>
      <w:r>
        <w:rPr>
          <w:rFonts w:eastAsia="Calibri"/>
          <w:lang w:eastAsia="en-US"/>
        </w:rPr>
        <w:t>R</w:t>
      </w:r>
      <w:r w:rsidRPr="00AD2018">
        <w:rPr>
          <w:rFonts w:eastAsia="Calibri"/>
          <w:lang w:eastAsia="en-US"/>
        </w:rPr>
        <w:t>ådene</w:t>
      </w:r>
      <w:r>
        <w:rPr>
          <w:rFonts w:eastAsia="Calibri"/>
          <w:lang w:eastAsia="en-US"/>
        </w:rPr>
        <w:t xml:space="preserve"> er bedt om å</w:t>
      </w:r>
      <w:r w:rsidRPr="00AD2018">
        <w:rPr>
          <w:rFonts w:eastAsia="Calibri"/>
          <w:lang w:eastAsia="en-US"/>
        </w:rPr>
        <w:t xml:space="preserve"> begrunne et eventuelt fylkesbesøk.</w:t>
      </w:r>
    </w:p>
    <w:p w:rsidR="00AD2018" w:rsidRPr="00AD2018" w:rsidRDefault="00AD2018" w:rsidP="00FD305B">
      <w:pPr>
        <w:rPr>
          <w:rFonts w:eastAsia="Calibri"/>
          <w:lang w:eastAsia="en-US"/>
        </w:rPr>
      </w:pPr>
    </w:p>
    <w:p w:rsidR="00AD2018" w:rsidRPr="00FD305B" w:rsidRDefault="00AD2018" w:rsidP="00FD305B">
      <w:pPr>
        <w:pStyle w:val="Listeavsnitt"/>
        <w:numPr>
          <w:ilvl w:val="0"/>
          <w:numId w:val="12"/>
        </w:numPr>
        <w:rPr>
          <w:rFonts w:eastAsia="Calibri"/>
          <w:lang w:eastAsia="en-US"/>
        </w:rPr>
      </w:pPr>
      <w:r w:rsidRPr="00FD305B">
        <w:rPr>
          <w:rFonts w:eastAsia="Calibri"/>
          <w:lang w:eastAsia="en-US"/>
        </w:rPr>
        <w:t>Hva er rådets mål med fylkesbesøket?</w:t>
      </w:r>
    </w:p>
    <w:p w:rsidR="00AD2018" w:rsidRPr="00FD305B" w:rsidRDefault="00AD2018" w:rsidP="00FD305B">
      <w:pPr>
        <w:pStyle w:val="Listeavsnitt"/>
        <w:numPr>
          <w:ilvl w:val="0"/>
          <w:numId w:val="12"/>
        </w:numPr>
        <w:rPr>
          <w:rFonts w:eastAsia="Calibri"/>
          <w:lang w:eastAsia="en-US"/>
        </w:rPr>
      </w:pPr>
      <w:r w:rsidRPr="00FD305B">
        <w:rPr>
          <w:rFonts w:eastAsia="Calibri"/>
          <w:lang w:eastAsia="en-US"/>
        </w:rPr>
        <w:t>Hvilke temaer og problemstillinger relatert til rådets arbeid ønsker rådet å fokusere på med sitt fylkesbesøk?</w:t>
      </w:r>
    </w:p>
    <w:p w:rsidR="00AD2018" w:rsidRPr="00FD305B" w:rsidRDefault="00AD2018" w:rsidP="00FD305B">
      <w:pPr>
        <w:pStyle w:val="Listeavsnitt"/>
        <w:numPr>
          <w:ilvl w:val="0"/>
          <w:numId w:val="12"/>
        </w:numPr>
        <w:rPr>
          <w:rFonts w:eastAsia="Calibri"/>
          <w:lang w:eastAsia="en-US"/>
        </w:rPr>
      </w:pPr>
      <w:r w:rsidRPr="00FD305B">
        <w:rPr>
          <w:rFonts w:eastAsia="Calibri"/>
          <w:lang w:eastAsia="en-US"/>
        </w:rPr>
        <w:t>Hvilket fylke ønsker rådet å besøke og hvorfor?</w:t>
      </w:r>
    </w:p>
    <w:p w:rsidR="00AD2018" w:rsidRPr="00AD2018" w:rsidRDefault="00AD2018" w:rsidP="00FD305B">
      <w:pPr>
        <w:rPr>
          <w:rFonts w:eastAsia="Calibri"/>
          <w:lang w:eastAsia="en-US"/>
        </w:rPr>
      </w:pPr>
    </w:p>
    <w:p w:rsidR="00AD2018" w:rsidRDefault="00AD2018" w:rsidP="00FD305B">
      <w:pPr>
        <w:rPr>
          <w:rFonts w:eastAsia="Calibri"/>
          <w:bCs/>
          <w:lang w:eastAsia="en-US"/>
        </w:rPr>
      </w:pPr>
      <w:r w:rsidRPr="00AD2018">
        <w:rPr>
          <w:rFonts w:eastAsia="Calibri"/>
          <w:lang w:eastAsia="en-US"/>
        </w:rPr>
        <w:t>Basert på rådenes tilbakemelding vil sekretariatet vurdere fylkesbesøk 2016.</w:t>
      </w:r>
      <w:r>
        <w:rPr>
          <w:rFonts w:eastAsia="Calibri"/>
          <w:lang w:eastAsia="en-US"/>
        </w:rPr>
        <w:t xml:space="preserve"> </w:t>
      </w:r>
      <w:r w:rsidRPr="00AD2018">
        <w:rPr>
          <w:rFonts w:eastAsia="Calibri"/>
          <w:lang w:eastAsia="en-US"/>
        </w:rPr>
        <w:t xml:space="preserve">Frist for tilbakemelding fra de faglige rådene er </w:t>
      </w:r>
      <w:r w:rsidRPr="00AD2018">
        <w:rPr>
          <w:rFonts w:eastAsia="Calibri"/>
          <w:b/>
          <w:bCs/>
          <w:lang w:eastAsia="en-US"/>
        </w:rPr>
        <w:t>20. januar 2016</w:t>
      </w:r>
      <w:r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 xml:space="preserve">Se utkast til </w:t>
      </w:r>
      <w:proofErr w:type="spellStart"/>
      <w:r>
        <w:rPr>
          <w:rFonts w:eastAsia="Calibri"/>
          <w:bCs/>
          <w:lang w:eastAsia="en-US"/>
        </w:rPr>
        <w:t>FRDHs</w:t>
      </w:r>
      <w:proofErr w:type="spellEnd"/>
      <w:r>
        <w:rPr>
          <w:rFonts w:eastAsia="Calibri"/>
          <w:bCs/>
          <w:lang w:eastAsia="en-US"/>
        </w:rPr>
        <w:t xml:space="preserve"> begrunnelse vedlagt. </w:t>
      </w:r>
    </w:p>
    <w:p w:rsidR="00AD2018" w:rsidRDefault="00AD2018" w:rsidP="00FD305B">
      <w:pPr>
        <w:rPr>
          <w:rFonts w:eastAsia="Calibri"/>
          <w:lang w:eastAsia="en-US"/>
        </w:rPr>
      </w:pPr>
    </w:p>
    <w:p w:rsidR="00F125B2" w:rsidRDefault="00AD2018" w:rsidP="00FD305B">
      <w:pPr>
        <w:pStyle w:val="Undertittel"/>
        <w:rPr>
          <w:rFonts w:eastAsia="Calibri"/>
          <w:lang w:eastAsia="en-US"/>
        </w:rPr>
      </w:pPr>
      <w:r w:rsidRPr="00AD2018">
        <w:rPr>
          <w:rFonts w:eastAsia="Calibri"/>
          <w:lang w:eastAsia="en-US"/>
        </w:rPr>
        <w:t xml:space="preserve">3/16 </w:t>
      </w:r>
      <w:r w:rsidR="00C73EE1">
        <w:rPr>
          <w:rFonts w:eastAsia="Calibri"/>
          <w:lang w:eastAsia="en-US"/>
        </w:rPr>
        <w:t>Bekymringsmelding</w:t>
      </w:r>
      <w:r w:rsidRPr="00AD2018">
        <w:rPr>
          <w:rFonts w:eastAsia="Calibri"/>
          <w:lang w:eastAsia="en-US"/>
        </w:rPr>
        <w:t xml:space="preserve"> fra </w:t>
      </w:r>
      <w:r>
        <w:rPr>
          <w:rFonts w:eastAsia="Calibri"/>
          <w:lang w:eastAsia="en-US"/>
        </w:rPr>
        <w:t>D</w:t>
      </w:r>
      <w:r w:rsidR="00C73EE1">
        <w:rPr>
          <w:rFonts w:eastAsia="Calibri"/>
          <w:lang w:eastAsia="en-US"/>
        </w:rPr>
        <w:t>et norske frisørlærerforbundet</w:t>
      </w:r>
      <w:r>
        <w:rPr>
          <w:rFonts w:eastAsia="Calibri"/>
          <w:lang w:eastAsia="en-US"/>
        </w:rPr>
        <w:t xml:space="preserve"> </w:t>
      </w:r>
    </w:p>
    <w:p w:rsidR="00AD2018" w:rsidRDefault="00AD2018" w:rsidP="00FD305B">
      <w:pPr>
        <w:rPr>
          <w:rFonts w:eastAsia="Calibri"/>
          <w:lang w:eastAsia="en-US"/>
        </w:rPr>
      </w:pPr>
    </w:p>
    <w:p w:rsidR="004C13D8" w:rsidRDefault="00AD2018" w:rsidP="00FD305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Det norske frisørlærerforbundet har sendt en bekymringsmelding til FRDH</w:t>
      </w:r>
      <w:r w:rsidR="004C13D8">
        <w:rPr>
          <w:rFonts w:eastAsia="Calibri"/>
          <w:lang w:eastAsia="en-US"/>
        </w:rPr>
        <w:t>, se vedlegg</w:t>
      </w:r>
      <w:r>
        <w:rPr>
          <w:rFonts w:eastAsia="Calibri"/>
          <w:lang w:eastAsia="en-US"/>
        </w:rPr>
        <w:t xml:space="preserve">. </w:t>
      </w:r>
    </w:p>
    <w:p w:rsidR="004C13D8" w:rsidRDefault="004C13D8" w:rsidP="00FD305B">
      <w:pPr>
        <w:rPr>
          <w:rFonts w:eastAsia="Calibri"/>
          <w:lang w:eastAsia="en-US"/>
        </w:rPr>
      </w:pPr>
    </w:p>
    <w:p w:rsidR="00C73EE1" w:rsidRDefault="00AD2018" w:rsidP="00FD305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Forbundet har satt ned en arbeidsgruppe som har sett på form og innhold i svar på </w:t>
      </w:r>
      <w:r w:rsidR="00C73EE1">
        <w:rPr>
          <w:rFonts w:eastAsia="Calibri"/>
          <w:lang w:eastAsia="en-US"/>
        </w:rPr>
        <w:t>sentralt gitt skriftlig eksamen</w:t>
      </w:r>
      <w:r>
        <w:rPr>
          <w:rFonts w:eastAsia="Calibri"/>
          <w:lang w:eastAsia="en-US"/>
        </w:rPr>
        <w:t xml:space="preserve"> i frisørfaget, FRI2001, FRI2002 og FRI3001. Arbeidsgruppa er bekymret for kvaliteten på prøvene som avlegges, og ser behov for at eksamenen kvalitetssikres på tvers av fylkene. </w:t>
      </w:r>
    </w:p>
    <w:p w:rsidR="00C73EE1" w:rsidRDefault="00C73EE1" w:rsidP="00FD305B">
      <w:pPr>
        <w:rPr>
          <w:rFonts w:eastAsia="Calibri"/>
          <w:lang w:eastAsia="en-US"/>
        </w:rPr>
      </w:pPr>
    </w:p>
    <w:p w:rsidR="00AD2018" w:rsidRPr="00AD2018" w:rsidRDefault="00C73EE1" w:rsidP="00FD305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Eksamenen er sentralt gitt med lokal sensur. Les mer om sentralt gitt skriftlig eksamen </w:t>
      </w:r>
      <w:hyperlink r:id="rId9" w:history="1">
        <w:r w:rsidRPr="00C73EE1">
          <w:rPr>
            <w:rStyle w:val="Hyperkobling"/>
            <w:rFonts w:eastAsia="Calibri"/>
            <w:lang w:eastAsia="en-US"/>
          </w:rPr>
          <w:t>her</w:t>
        </w:r>
      </w:hyperlink>
      <w:r>
        <w:rPr>
          <w:rFonts w:eastAsia="Calibri"/>
          <w:lang w:eastAsia="en-US"/>
        </w:rPr>
        <w:t xml:space="preserve">, og se lenke til tidligere eksamensoppgaver </w:t>
      </w:r>
      <w:hyperlink r:id="rId10" w:history="1">
        <w:r w:rsidR="00632135" w:rsidRPr="00632135">
          <w:rPr>
            <w:rStyle w:val="Hyperkobling"/>
            <w:rFonts w:eastAsia="Calibri"/>
            <w:lang w:eastAsia="en-US"/>
          </w:rPr>
          <w:t>her</w:t>
        </w:r>
      </w:hyperlink>
      <w:r>
        <w:rPr>
          <w:rFonts w:eastAsia="Calibri"/>
          <w:lang w:eastAsia="en-US"/>
        </w:rPr>
        <w:t xml:space="preserve">.  </w:t>
      </w:r>
    </w:p>
    <w:p w:rsidR="00EA0356" w:rsidRDefault="00EA0356" w:rsidP="00FD305B"/>
    <w:p w:rsidR="004D391B" w:rsidRDefault="004D391B" w:rsidP="00FD305B">
      <w:pPr>
        <w:pStyle w:val="Undertittel"/>
      </w:pPr>
      <w:r w:rsidRPr="00EA25D4">
        <w:t>Orienteringssaker</w:t>
      </w:r>
    </w:p>
    <w:p w:rsidR="00C73EE1" w:rsidRDefault="00C73EE1" w:rsidP="00FD305B"/>
    <w:tbl>
      <w:tblPr>
        <w:tblW w:w="5000" w:type="pct"/>
        <w:tblLook w:val="01E0" w:firstRow="1" w:lastRow="1" w:firstColumn="1" w:lastColumn="1" w:noHBand="0" w:noVBand="0"/>
      </w:tblPr>
      <w:tblGrid>
        <w:gridCol w:w="9073"/>
      </w:tblGrid>
      <w:tr w:rsidR="002D3553" w:rsidRPr="00EC47F2" w:rsidTr="002D3553">
        <w:tc>
          <w:tcPr>
            <w:tcW w:w="5000" w:type="pct"/>
          </w:tcPr>
          <w:p w:rsidR="002D3553" w:rsidRPr="00EC47F2" w:rsidRDefault="002D3553" w:rsidP="00FD305B"/>
        </w:tc>
      </w:tr>
      <w:tr w:rsidR="002D3553" w:rsidRPr="00EC47F2" w:rsidTr="002D3553">
        <w:tc>
          <w:tcPr>
            <w:tcW w:w="5000" w:type="pct"/>
          </w:tcPr>
          <w:p w:rsidR="002D3553" w:rsidRPr="00511F83" w:rsidRDefault="002D3553" w:rsidP="00FD305B">
            <w:pPr>
              <w:pStyle w:val="Undertittel"/>
            </w:pPr>
            <w:r w:rsidRPr="00511F83">
              <w:t>Eventuelt</w:t>
            </w:r>
          </w:p>
        </w:tc>
      </w:tr>
      <w:tr w:rsidR="00FD305B" w:rsidRPr="00EC47F2" w:rsidTr="002D3553">
        <w:tc>
          <w:tcPr>
            <w:tcW w:w="5000" w:type="pct"/>
          </w:tcPr>
          <w:p w:rsidR="00FD305B" w:rsidRPr="00511F83" w:rsidRDefault="00FD305B" w:rsidP="00FD305B"/>
        </w:tc>
      </w:tr>
    </w:tbl>
    <w:p w:rsidR="003849B4" w:rsidRPr="00EC47F2" w:rsidRDefault="003849B4" w:rsidP="00632135"/>
    <w:sectPr w:rsidR="003849B4" w:rsidRPr="00EC47F2" w:rsidSect="00FD305B">
      <w:headerReference w:type="default" r:id="rId11"/>
      <w:footerReference w:type="first" r:id="rId12"/>
      <w:type w:val="continuous"/>
      <w:pgSz w:w="11907" w:h="16840" w:code="9"/>
      <w:pgMar w:top="1417" w:right="1417" w:bottom="1417" w:left="1417" w:header="851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2C" w:rsidRDefault="00C7392C" w:rsidP="00FD305B">
      <w:r>
        <w:separator/>
      </w:r>
    </w:p>
  </w:endnote>
  <w:endnote w:type="continuationSeparator" w:id="0">
    <w:p w:rsidR="00C7392C" w:rsidRDefault="00C7392C" w:rsidP="00FD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 w:rsidP="00FD305B">
    <w:pPr>
      <w:jc w:val="center"/>
      <w:rPr>
        <w:lang w:val="nn-NO"/>
      </w:rPr>
    </w:pPr>
    <w:r>
      <w:rPr>
        <w:lang w:val="nn-NO"/>
      </w:rPr>
      <w:t>FAGLIG RÅD FOR DESIGN OG HÅNDVERK</w:t>
    </w:r>
  </w:p>
  <w:p w:rsidR="00DC3002" w:rsidRPr="00020A07" w:rsidRDefault="00DC3002" w:rsidP="00FD305B">
    <w:pPr>
      <w:jc w:val="center"/>
      <w:rPr>
        <w:lang w:val="nn-NO"/>
      </w:rPr>
    </w:pPr>
    <w:r w:rsidRPr="00020A07">
      <w:rPr>
        <w:lang w:val="nn-NO"/>
      </w:rPr>
      <w:t>Schweigaards gate 15 B</w:t>
    </w:r>
    <w:r>
      <w:rPr>
        <w:lang w:val="nn-NO"/>
      </w:rPr>
      <w:t>,</w:t>
    </w:r>
    <w:r w:rsidRPr="00020A07">
      <w:rPr>
        <w:lang w:val="nn-NO"/>
      </w:rPr>
      <w:t xml:space="preserve"> P</w:t>
    </w:r>
    <w:r>
      <w:rPr>
        <w:lang w:val="nn-NO"/>
      </w:rPr>
      <w:t xml:space="preserve">ostboks 9359 Grønland, 0135 Oslo, </w:t>
    </w:r>
    <w:r w:rsidRPr="00020A07">
      <w:rPr>
        <w:lang w:val="nn-NO"/>
      </w:rPr>
      <w:t xml:space="preserve">telefon: </w:t>
    </w:r>
    <w:r w:rsidRPr="00020A07">
      <w:rPr>
        <w:lang w:val="de-DE"/>
      </w:rPr>
      <w:t>+47 23 30 12 00</w:t>
    </w:r>
  </w:p>
  <w:p w:rsidR="003849B4" w:rsidRDefault="00DC3002" w:rsidP="00FD305B">
    <w:pPr>
      <w:jc w:val="center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DC3002" w:rsidRPr="004164D3" w:rsidRDefault="00DC3002" w:rsidP="00FD305B">
    <w:pPr>
      <w:pStyle w:val="Bunnteks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2C" w:rsidRDefault="00C7392C" w:rsidP="00FD305B">
      <w:r>
        <w:separator/>
      </w:r>
    </w:p>
  </w:footnote>
  <w:footnote w:type="continuationSeparator" w:id="0">
    <w:p w:rsidR="00C7392C" w:rsidRDefault="00C7392C" w:rsidP="00FD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70"/>
      <w:gridCol w:w="4603"/>
    </w:tblGrid>
    <w:tr w:rsidR="00DA1184">
      <w:tc>
        <w:tcPr>
          <w:tcW w:w="5031" w:type="dxa"/>
        </w:tcPr>
        <w:p w:rsidR="00DA1184" w:rsidRDefault="00DA1184" w:rsidP="00FD305B">
          <w:pPr>
            <w:pStyle w:val="Topptekst"/>
          </w:pPr>
        </w:p>
      </w:tc>
      <w:tc>
        <w:tcPr>
          <w:tcW w:w="5031" w:type="dxa"/>
        </w:tcPr>
        <w:p w:rsidR="00DA1184" w:rsidRDefault="00DA1184" w:rsidP="00FD305B">
          <w:r>
            <w:tab/>
          </w:r>
          <w:r>
            <w:tab/>
            <w:t xml:space="preserve">Side </w:t>
          </w:r>
          <w:r w:rsidR="008229CE">
            <w:fldChar w:fldCharType="begin"/>
          </w:r>
          <w:r>
            <w:instrText xml:space="preserve"> PAGE </w:instrText>
          </w:r>
          <w:r w:rsidR="008229CE">
            <w:fldChar w:fldCharType="separate"/>
          </w:r>
          <w:r w:rsidR="008E6667">
            <w:rPr>
              <w:noProof/>
            </w:rPr>
            <w:t>2</w:t>
          </w:r>
          <w:r w:rsidR="008229CE">
            <w:fldChar w:fldCharType="end"/>
          </w:r>
          <w:r>
            <w:t xml:space="preserve"> av </w:t>
          </w:r>
          <w:r w:rsidR="008229CE">
            <w:fldChar w:fldCharType="begin"/>
          </w:r>
          <w:r>
            <w:instrText xml:space="preserve"> NUMPAGES </w:instrText>
          </w:r>
          <w:r w:rsidR="008229CE">
            <w:fldChar w:fldCharType="separate"/>
          </w:r>
          <w:r w:rsidR="008E6667">
            <w:rPr>
              <w:noProof/>
            </w:rPr>
            <w:t>2</w:t>
          </w:r>
          <w:r w:rsidR="008229CE">
            <w:fldChar w:fldCharType="end"/>
          </w:r>
        </w:p>
      </w:tc>
    </w:tr>
  </w:tbl>
  <w:p w:rsidR="00DA1184" w:rsidRDefault="0075088D" w:rsidP="00FD305B">
    <w:pPr>
      <w:pStyle w:val="Topptekst"/>
    </w:pPr>
    <w:r>
      <w:rPr>
        <w:noProof/>
      </w:rPr>
      <w:drawing>
        <wp:inline distT="0" distB="0" distL="0" distR="0">
          <wp:extent cx="9525" cy="9525"/>
          <wp:effectExtent l="19050" t="0" r="9525" b="0"/>
          <wp:docPr id="3" name="Bilde 3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581"/>
    <w:multiLevelType w:val="hybridMultilevel"/>
    <w:tmpl w:val="71B0C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DE0"/>
    <w:multiLevelType w:val="hybridMultilevel"/>
    <w:tmpl w:val="B4BAC6D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A2AB3"/>
    <w:multiLevelType w:val="hybridMultilevel"/>
    <w:tmpl w:val="F5F8EF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43A8F"/>
    <w:multiLevelType w:val="hybridMultilevel"/>
    <w:tmpl w:val="5DE47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0123"/>
    <w:multiLevelType w:val="multilevel"/>
    <w:tmpl w:val="8E9EB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076533"/>
    <w:multiLevelType w:val="hybridMultilevel"/>
    <w:tmpl w:val="F44EF41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619"/>
    <w:multiLevelType w:val="hybridMultilevel"/>
    <w:tmpl w:val="6E7AD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3E33"/>
    <w:multiLevelType w:val="hybridMultilevel"/>
    <w:tmpl w:val="00F04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251BF"/>
    <w:multiLevelType w:val="hybridMultilevel"/>
    <w:tmpl w:val="A9CEB2A8"/>
    <w:lvl w:ilvl="0" w:tplc="0414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234"/>
    <w:rsid w:val="00005461"/>
    <w:rsid w:val="00052B2D"/>
    <w:rsid w:val="00060B41"/>
    <w:rsid w:val="0007331E"/>
    <w:rsid w:val="00073E68"/>
    <w:rsid w:val="00076BCF"/>
    <w:rsid w:val="00087243"/>
    <w:rsid w:val="00087A91"/>
    <w:rsid w:val="000C57C6"/>
    <w:rsid w:val="000E3136"/>
    <w:rsid w:val="000F7390"/>
    <w:rsid w:val="001113C8"/>
    <w:rsid w:val="00131619"/>
    <w:rsid w:val="00136E1C"/>
    <w:rsid w:val="00136E8E"/>
    <w:rsid w:val="001624D3"/>
    <w:rsid w:val="001A14CD"/>
    <w:rsid w:val="001A4B3E"/>
    <w:rsid w:val="001A7556"/>
    <w:rsid w:val="001D0638"/>
    <w:rsid w:val="001D3734"/>
    <w:rsid w:val="00285CD5"/>
    <w:rsid w:val="002C61E8"/>
    <w:rsid w:val="002D3553"/>
    <w:rsid w:val="002D5603"/>
    <w:rsid w:val="00310AE6"/>
    <w:rsid w:val="0032576C"/>
    <w:rsid w:val="0033328D"/>
    <w:rsid w:val="003520E8"/>
    <w:rsid w:val="003849B4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C13D8"/>
    <w:rsid w:val="004C1E18"/>
    <w:rsid w:val="004C23C7"/>
    <w:rsid w:val="004D391B"/>
    <w:rsid w:val="004F046B"/>
    <w:rsid w:val="00511424"/>
    <w:rsid w:val="00511F83"/>
    <w:rsid w:val="00527641"/>
    <w:rsid w:val="0053479C"/>
    <w:rsid w:val="0053560E"/>
    <w:rsid w:val="0053774A"/>
    <w:rsid w:val="0059256B"/>
    <w:rsid w:val="005C164E"/>
    <w:rsid w:val="005C33C2"/>
    <w:rsid w:val="005C61D5"/>
    <w:rsid w:val="005C693E"/>
    <w:rsid w:val="005F294A"/>
    <w:rsid w:val="00632135"/>
    <w:rsid w:val="0068578C"/>
    <w:rsid w:val="00696986"/>
    <w:rsid w:val="006A6BA3"/>
    <w:rsid w:val="006C0301"/>
    <w:rsid w:val="0072316F"/>
    <w:rsid w:val="00726B30"/>
    <w:rsid w:val="00731C3B"/>
    <w:rsid w:val="0075088D"/>
    <w:rsid w:val="0075499E"/>
    <w:rsid w:val="00764239"/>
    <w:rsid w:val="007A3D6F"/>
    <w:rsid w:val="007B795F"/>
    <w:rsid w:val="007D1BB9"/>
    <w:rsid w:val="007E1BD2"/>
    <w:rsid w:val="008229CE"/>
    <w:rsid w:val="00847076"/>
    <w:rsid w:val="00857109"/>
    <w:rsid w:val="00877FB1"/>
    <w:rsid w:val="008A2E98"/>
    <w:rsid w:val="008D50BC"/>
    <w:rsid w:val="008D6936"/>
    <w:rsid w:val="008E6667"/>
    <w:rsid w:val="00910184"/>
    <w:rsid w:val="00914481"/>
    <w:rsid w:val="00921B35"/>
    <w:rsid w:val="0092368C"/>
    <w:rsid w:val="00954DB5"/>
    <w:rsid w:val="00970598"/>
    <w:rsid w:val="00974325"/>
    <w:rsid w:val="009A199E"/>
    <w:rsid w:val="009D3A38"/>
    <w:rsid w:val="009D5A07"/>
    <w:rsid w:val="00A059C8"/>
    <w:rsid w:val="00AC3688"/>
    <w:rsid w:val="00AC3B85"/>
    <w:rsid w:val="00AD2018"/>
    <w:rsid w:val="00B31B35"/>
    <w:rsid w:val="00B35190"/>
    <w:rsid w:val="00B41944"/>
    <w:rsid w:val="00BB7E5D"/>
    <w:rsid w:val="00BD349E"/>
    <w:rsid w:val="00BE406B"/>
    <w:rsid w:val="00BE7A5E"/>
    <w:rsid w:val="00BF552C"/>
    <w:rsid w:val="00C00619"/>
    <w:rsid w:val="00C01DDE"/>
    <w:rsid w:val="00C674A2"/>
    <w:rsid w:val="00C7392C"/>
    <w:rsid w:val="00C73EE1"/>
    <w:rsid w:val="00C91567"/>
    <w:rsid w:val="00CA3BB5"/>
    <w:rsid w:val="00CC18CD"/>
    <w:rsid w:val="00CF6312"/>
    <w:rsid w:val="00D11078"/>
    <w:rsid w:val="00D27CCB"/>
    <w:rsid w:val="00D64F42"/>
    <w:rsid w:val="00D771AA"/>
    <w:rsid w:val="00D84306"/>
    <w:rsid w:val="00D916BC"/>
    <w:rsid w:val="00DA1184"/>
    <w:rsid w:val="00DC3002"/>
    <w:rsid w:val="00DD0408"/>
    <w:rsid w:val="00DF49B1"/>
    <w:rsid w:val="00E12882"/>
    <w:rsid w:val="00E364C2"/>
    <w:rsid w:val="00E736AF"/>
    <w:rsid w:val="00E83F23"/>
    <w:rsid w:val="00EA0356"/>
    <w:rsid w:val="00EA25D4"/>
    <w:rsid w:val="00EC3484"/>
    <w:rsid w:val="00EC47F2"/>
    <w:rsid w:val="00F125B2"/>
    <w:rsid w:val="00F16949"/>
    <w:rsid w:val="00F557A9"/>
    <w:rsid w:val="00F6763E"/>
    <w:rsid w:val="00F74B5E"/>
    <w:rsid w:val="00F74D12"/>
    <w:rsid w:val="00F7578C"/>
    <w:rsid w:val="00FA59B0"/>
    <w:rsid w:val="00FA6C55"/>
    <w:rsid w:val="00FB0C25"/>
    <w:rsid w:val="00FB379D"/>
    <w:rsid w:val="00FC4405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5B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30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  <w:style w:type="paragraph" w:customStyle="1" w:styleId="Default">
    <w:name w:val="Default"/>
    <w:basedOn w:val="Normal"/>
    <w:rsid w:val="00F125B2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305B"/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FD305B"/>
    <w:rPr>
      <w:b/>
    </w:rPr>
  </w:style>
  <w:style w:type="character" w:customStyle="1" w:styleId="UndertittelTegn">
    <w:name w:val="Undertittel Tegn"/>
    <w:basedOn w:val="Standardskriftforavsnitt"/>
    <w:link w:val="Undertittel"/>
    <w:rsid w:val="00FD305B"/>
    <w:rPr>
      <w:rFonts w:ascii="Verdana" w:hAnsi="Verdana"/>
      <w:b/>
    </w:rPr>
  </w:style>
  <w:style w:type="character" w:styleId="Fulgthyperkobling">
    <w:name w:val="FollowedHyperlink"/>
    <w:basedOn w:val="Standardskriftforavsnitt"/>
    <w:semiHidden/>
    <w:unhideWhenUsed/>
    <w:rsid w:val="00632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globalassets/upload/retningslinjer_for_trepartssamarbeid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k.udir.no/DokumenterAndrekataloger.aspx?proveType=EV&amp;katalog=Programfag%20yrkesfag%20-%20eksamensoppgaver&amp;periode=A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ir.no/Vurdering/Eksamen-videregaende/Veiledning-til-sentralt-gitt-skriftlig-eksamen-i-yrkesfa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3</cp:revision>
  <cp:lastPrinted>2010-06-16T12:59:00Z</cp:lastPrinted>
  <dcterms:created xsi:type="dcterms:W3CDTF">2016-01-11T13:16:00Z</dcterms:created>
  <dcterms:modified xsi:type="dcterms:W3CDTF">2016-01-11T13:29:00Z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