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EC47F2" w:rsidTr="00974325">
        <w:tc>
          <w:tcPr>
            <w:tcW w:w="4786" w:type="dxa"/>
            <w:gridSpan w:val="3"/>
          </w:tcPr>
          <w:p w:rsidR="00F16949" w:rsidRPr="00EC47F2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1113C8">
              <w:rPr>
                <w:rFonts w:ascii="Verdana" w:hAnsi="Verdana"/>
                <w:sz w:val="16"/>
              </w:rPr>
              <w:t>Monika Thollefsen</w:t>
            </w:r>
          </w:p>
          <w:p w:rsidR="00F16949" w:rsidRPr="00EC47F2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2"/>
          </w:tcPr>
          <w:p w:rsidR="00F16949" w:rsidRPr="006D18CC" w:rsidRDefault="00F16949">
            <w:pPr>
              <w:rPr>
                <w:rFonts w:ascii="Verdana" w:hAnsi="Verdana"/>
              </w:rPr>
            </w:pPr>
          </w:p>
          <w:p w:rsidR="00F16949" w:rsidRPr="006D18CC" w:rsidRDefault="00954DB5">
            <w:pPr>
              <w:rPr>
                <w:rFonts w:ascii="Verdana" w:hAnsi="Verdana"/>
                <w:sz w:val="16"/>
              </w:rPr>
            </w:pPr>
            <w:r w:rsidRPr="006D18CC">
              <w:rPr>
                <w:rFonts w:ascii="Verdana" w:hAnsi="Verdana"/>
                <w:sz w:val="16"/>
              </w:rPr>
              <w:t>Vår dato:</w:t>
            </w:r>
          </w:p>
          <w:p w:rsidR="00F16949" w:rsidRPr="006D18CC" w:rsidRDefault="006D18CC">
            <w:pPr>
              <w:rPr>
                <w:rFonts w:ascii="Verdana" w:hAnsi="Verdana"/>
                <w:sz w:val="16"/>
              </w:rPr>
            </w:pPr>
            <w:bookmarkStart w:id="1" w:name="BREVDATO"/>
            <w:r w:rsidRPr="006D18CC">
              <w:rPr>
                <w:rFonts w:ascii="Verdana" w:hAnsi="Verdana"/>
                <w:sz w:val="16"/>
              </w:rPr>
              <w:t>08</w:t>
            </w:r>
            <w:r w:rsidR="001113C8" w:rsidRPr="006D18CC">
              <w:rPr>
                <w:rFonts w:ascii="Verdana" w:hAnsi="Verdana"/>
                <w:sz w:val="16"/>
              </w:rPr>
              <w:t>.0</w:t>
            </w:r>
            <w:r w:rsidRPr="006D18CC">
              <w:rPr>
                <w:rFonts w:ascii="Verdana" w:hAnsi="Verdana"/>
                <w:sz w:val="16"/>
              </w:rPr>
              <w:t>2</w:t>
            </w:r>
            <w:r w:rsidR="00073E68" w:rsidRPr="006D18CC">
              <w:rPr>
                <w:rFonts w:ascii="Verdana" w:hAnsi="Verdana"/>
                <w:sz w:val="16"/>
              </w:rPr>
              <w:t>.201</w:t>
            </w:r>
            <w:bookmarkEnd w:id="1"/>
            <w:r w:rsidR="000763FF" w:rsidRPr="006D18CC">
              <w:rPr>
                <w:rFonts w:ascii="Verdana" w:hAnsi="Verdana"/>
                <w:sz w:val="16"/>
              </w:rPr>
              <w:t>6</w:t>
            </w:r>
          </w:p>
          <w:p w:rsidR="004736D7" w:rsidRPr="006D18CC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6D18CC">
              <w:rPr>
                <w:rFonts w:ascii="Verdana" w:hAnsi="Verdana"/>
                <w:sz w:val="16"/>
              </w:rPr>
              <w:t>Vår</w:t>
            </w:r>
            <w:r w:rsidRPr="006D18CC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6D18CC">
              <w:rPr>
                <w:rFonts w:ascii="Verdana" w:hAnsi="Verdana"/>
                <w:sz w:val="16"/>
              </w:rPr>
              <w:t>referanse</w:t>
            </w:r>
            <w:r w:rsidRPr="006D18CC"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Pr="006D18CC" w:rsidRDefault="000763FF">
            <w:pPr>
              <w:rPr>
                <w:rFonts w:ascii="Verdana" w:hAnsi="Verdana"/>
                <w:noProof/>
                <w:sz w:val="16"/>
              </w:rPr>
            </w:pPr>
            <w:bookmarkStart w:id="2" w:name="SAKSNR"/>
            <w:r w:rsidRPr="006D18CC">
              <w:rPr>
                <w:rFonts w:ascii="Verdana" w:hAnsi="Verdana"/>
                <w:noProof/>
                <w:sz w:val="16"/>
              </w:rPr>
              <w:t>2016</w:t>
            </w:r>
            <w:r w:rsidR="006D18CC">
              <w:rPr>
                <w:rFonts w:ascii="Verdana" w:hAnsi="Verdana"/>
                <w:noProof/>
                <w:sz w:val="16"/>
              </w:rPr>
              <w:t>/</w:t>
            </w:r>
            <w:bookmarkEnd w:id="2"/>
            <w:r w:rsidR="006D18CC">
              <w:rPr>
                <w:rFonts w:ascii="Verdana" w:hAnsi="Verdana"/>
                <w:noProof/>
                <w:sz w:val="16"/>
              </w:rPr>
              <w:t>149</w:t>
            </w:r>
          </w:p>
          <w:p w:rsidR="004736D7" w:rsidRPr="006D18CC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4736D7" w:rsidRDefault="004736D7" w:rsidP="004736D7">
            <w:pPr>
              <w:rPr>
                <w:rFonts w:ascii="Verdana" w:hAnsi="Verdana"/>
                <w:sz w:val="16"/>
              </w:rPr>
            </w:pPr>
            <w:r w:rsidRPr="00EC47F2">
              <w:rPr>
                <w:rFonts w:ascii="Verdana" w:hAnsi="Verdana"/>
                <w:sz w:val="16"/>
              </w:rPr>
              <w:t>Deres dato:</w:t>
            </w:r>
          </w:p>
          <w:p w:rsidR="00F16949" w:rsidRPr="00EC47F2" w:rsidRDefault="00F16949">
            <w:pPr>
              <w:rPr>
                <w:rFonts w:ascii="Verdana" w:hAnsi="Verdana"/>
                <w:sz w:val="16"/>
              </w:rPr>
            </w:pPr>
            <w:bookmarkStart w:id="3" w:name="REFDATO"/>
            <w:bookmarkEnd w:id="3"/>
          </w:p>
          <w:p w:rsidR="00F16949" w:rsidRPr="00EC47F2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Deres referanse:</w:t>
            </w:r>
          </w:p>
          <w:p w:rsidR="00F16949" w:rsidRPr="00EC47F2" w:rsidRDefault="00F16949">
            <w:pPr>
              <w:rPr>
                <w:rFonts w:ascii="Verdana" w:hAnsi="Verdana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EC47F2" w:rsidRDefault="00726B30" w:rsidP="000E3136">
            <w:pPr>
              <w:jc w:val="right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EC47F2" w:rsidTr="00974325">
        <w:tc>
          <w:tcPr>
            <w:tcW w:w="2461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5" w:name="UOFFPARAGRAF"/>
            <w:bookmarkEnd w:id="5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8F07D0" w:rsidTr="001D3734">
        <w:tc>
          <w:tcPr>
            <w:tcW w:w="5608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r w:rsidRPr="001655AF">
              <w:rPr>
                <w:rFonts w:ascii="Verdana" w:hAnsi="Verdana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16"/>
              </w:rPr>
            </w:pPr>
            <w:r w:rsidRPr="001655AF">
              <w:rPr>
                <w:rFonts w:ascii="Verdana" w:hAnsi="Verdana"/>
                <w:noProof/>
                <w:sz w:val="16"/>
              </w:rPr>
              <w:t>Kopi til:</w:t>
            </w:r>
          </w:p>
        </w:tc>
      </w:tr>
      <w:tr w:rsidR="001D3734" w:rsidRPr="001655AF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1655AF" w:rsidRDefault="001D3734" w:rsidP="006214F1">
            <w:pPr>
              <w:rPr>
                <w:rFonts w:ascii="Verdana" w:hAnsi="Verdana"/>
              </w:rPr>
            </w:pPr>
            <w:bookmarkStart w:id="6" w:name="Tilstede"/>
            <w:bookmarkEnd w:id="6"/>
            <w:r>
              <w:rPr>
                <w:rFonts w:ascii="Verdana" w:hAnsi="Verdana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  <w:bookmarkStart w:id="7" w:name="Kopi"/>
            <w:bookmarkEnd w:id="7"/>
            <w:proofErr w:type="gramStart"/>
            <w:r>
              <w:rPr>
                <w:rFonts w:ascii="Verdana" w:hAnsi="Verdana"/>
                <w:sz w:val="20"/>
              </w:rPr>
              <w:t>varamedlemmer</w:t>
            </w:r>
            <w:proofErr w:type="gramEnd"/>
          </w:p>
          <w:p w:rsidR="001D3734" w:rsidRPr="001655AF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="Verdana" w:hAnsi="Verdana"/>
                <w:sz w:val="20"/>
              </w:rPr>
            </w:pPr>
          </w:p>
        </w:tc>
      </w:tr>
    </w:tbl>
    <w:p w:rsidR="001D3734" w:rsidRPr="001655AF" w:rsidRDefault="001D3734" w:rsidP="001D3734">
      <w:pPr>
        <w:rPr>
          <w:rFonts w:ascii="Verdana" w:hAnsi="Verdana"/>
          <w:b/>
          <w:szCs w:val="24"/>
        </w:rPr>
      </w:pPr>
      <w:bookmarkStart w:id="8" w:name="Overskrift"/>
      <w:bookmarkEnd w:id="8"/>
    </w:p>
    <w:p w:rsidR="001D3734" w:rsidRPr="004B5AE6" w:rsidRDefault="001D3734" w:rsidP="001D3734">
      <w:pPr>
        <w:rPr>
          <w:rFonts w:ascii="Verdana" w:hAnsi="Verdana"/>
          <w:b/>
          <w:szCs w:val="24"/>
        </w:rPr>
      </w:pPr>
      <w:r w:rsidRPr="004B5AE6">
        <w:rPr>
          <w:rFonts w:ascii="Verdana" w:hAnsi="Verdana"/>
          <w:b/>
          <w:szCs w:val="24"/>
        </w:rPr>
        <w:t xml:space="preserve">Innkalling til møte i Faglig råd for design og håndverk </w:t>
      </w:r>
      <w:r w:rsidR="00E37AFC" w:rsidRPr="00E37AFC">
        <w:rPr>
          <w:rFonts w:ascii="Verdana" w:hAnsi="Verdana"/>
          <w:b/>
          <w:szCs w:val="24"/>
        </w:rPr>
        <w:t>15. februar</w:t>
      </w:r>
      <w:r w:rsidR="000763FF" w:rsidRPr="00E37AFC">
        <w:rPr>
          <w:rFonts w:ascii="Verdana" w:hAnsi="Verdana"/>
          <w:b/>
          <w:szCs w:val="24"/>
        </w:rPr>
        <w:t xml:space="preserve"> 2016</w:t>
      </w:r>
    </w:p>
    <w:p w:rsidR="001D3734" w:rsidRPr="004B5AE6" w:rsidRDefault="001D3734" w:rsidP="001D3734">
      <w:pPr>
        <w:rPr>
          <w:rFonts w:ascii="Verdana" w:hAnsi="Verdana"/>
        </w:rPr>
      </w:pPr>
    </w:p>
    <w:p w:rsidR="001D3734" w:rsidRPr="006D18CC" w:rsidRDefault="001D3734" w:rsidP="001D3734">
      <w:pPr>
        <w:rPr>
          <w:rFonts w:ascii="Verdana" w:hAnsi="Verdana"/>
        </w:rPr>
      </w:pPr>
      <w:r w:rsidRPr="00C51910">
        <w:rPr>
          <w:rFonts w:ascii="Verdana" w:hAnsi="Verdana"/>
        </w:rPr>
        <w:t xml:space="preserve">Møtested: </w:t>
      </w:r>
      <w:r w:rsidRPr="006D18CC">
        <w:rPr>
          <w:rFonts w:ascii="Verdana" w:hAnsi="Verdana"/>
        </w:rPr>
        <w:t>Ut</w:t>
      </w:r>
      <w:r w:rsidR="000763FF" w:rsidRPr="006D18CC">
        <w:rPr>
          <w:rFonts w:ascii="Verdana" w:hAnsi="Verdana"/>
        </w:rPr>
        <w:t>danningsdirektoratet, møterom 4</w:t>
      </w:r>
      <w:r w:rsidRPr="006D18CC">
        <w:rPr>
          <w:rFonts w:ascii="Verdana" w:hAnsi="Verdana"/>
        </w:rPr>
        <w:t>, 1.etg.</w:t>
      </w:r>
    </w:p>
    <w:p w:rsidR="003849B4" w:rsidRPr="00EC47F2" w:rsidRDefault="001D3734" w:rsidP="001D3734">
      <w:pPr>
        <w:rPr>
          <w:rFonts w:ascii="Verdana" w:hAnsi="Verdana"/>
        </w:rPr>
      </w:pPr>
      <w:r w:rsidRPr="006D18CC">
        <w:rPr>
          <w:rFonts w:ascii="Verdana" w:hAnsi="Verdana"/>
        </w:rPr>
        <w:t xml:space="preserve">Møtetid: </w:t>
      </w:r>
      <w:r w:rsidR="00BB59B1" w:rsidRPr="006D18CC">
        <w:rPr>
          <w:rFonts w:ascii="Verdana" w:hAnsi="Verdana"/>
        </w:rPr>
        <w:t>Kl.10.00-16</w:t>
      </w:r>
      <w:r w:rsidRPr="006D18CC">
        <w:rPr>
          <w:rFonts w:ascii="Verdana" w:hAnsi="Verdana"/>
        </w:rPr>
        <w:t>.00, lunsj kl. 11.30.</w:t>
      </w:r>
    </w:p>
    <w:p w:rsidR="003849B4" w:rsidRPr="00EC47F2" w:rsidRDefault="003849B4">
      <w:pPr>
        <w:rPr>
          <w:rFonts w:ascii="Verdana" w:hAnsi="Verdana"/>
        </w:rPr>
      </w:pPr>
      <w:bookmarkStart w:id="9" w:name="Start"/>
      <w:bookmarkEnd w:id="9"/>
    </w:p>
    <w:p w:rsidR="003849B4" w:rsidRDefault="001D3734">
      <w:pPr>
        <w:rPr>
          <w:rFonts w:ascii="Verdana" w:hAnsi="Verdana"/>
          <w:b/>
        </w:rPr>
      </w:pPr>
      <w:r w:rsidRPr="001D3734">
        <w:rPr>
          <w:rFonts w:ascii="Verdana" w:hAnsi="Verdana"/>
          <w:b/>
        </w:rPr>
        <w:t>Saksliste</w:t>
      </w:r>
    </w:p>
    <w:p w:rsidR="001D3734" w:rsidRDefault="001D3734" w:rsidP="001D3734">
      <w:pPr>
        <w:rPr>
          <w:rFonts w:ascii="Verdana" w:hAnsi="Verdana"/>
        </w:rPr>
      </w:pPr>
    </w:p>
    <w:p w:rsidR="001D3734" w:rsidRPr="001D3734" w:rsidRDefault="001D3734" w:rsidP="001D3734">
      <w:pPr>
        <w:rPr>
          <w:rFonts w:ascii="Verdana" w:hAnsi="Verdana"/>
        </w:rPr>
      </w:pPr>
    </w:p>
    <w:p w:rsidR="001D3734" w:rsidRDefault="00E37AFC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>Sak 4-16 Utviklingsredegjørelsen del 2</w:t>
      </w:r>
    </w:p>
    <w:p w:rsidR="00E37AFC" w:rsidRDefault="00E37AFC" w:rsidP="00E37AFC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E37AFC">
        <w:rPr>
          <w:rFonts w:ascii="Verdana" w:hAnsi="Verdana"/>
        </w:rPr>
        <w:t xml:space="preserve">Anna Hagen Tønder og Sol Skinnarland presenterer funn fra forskningsprosjektet om rekruttering til design og håndverk. Hovedformålet med prosjektet er å få en bedre forståelse for ulike forhold som har betydning for rekrutteringen av søkere til utdanningsprogrammet design og håndverk og til de ulike fagene innen utdanningsprogrammet. </w:t>
      </w:r>
    </w:p>
    <w:p w:rsidR="00E37AFC" w:rsidRDefault="00E37AFC" w:rsidP="00E37AFC">
      <w:pPr>
        <w:pStyle w:val="Listeavsnitt"/>
        <w:rPr>
          <w:rFonts w:ascii="Verdana" w:hAnsi="Verdana"/>
        </w:rPr>
      </w:pPr>
    </w:p>
    <w:p w:rsidR="00E37AFC" w:rsidRDefault="00925D5B" w:rsidP="00E37AFC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Gjennomgang av tekst om splitting av Vg1 og oppfølging av innspill. </w:t>
      </w:r>
      <w:r w:rsidR="00E37AFC">
        <w:rPr>
          <w:rFonts w:ascii="Verdana" w:hAnsi="Verdana"/>
        </w:rPr>
        <w:t>I etterkant av møtet 18. januar har rådet fått tilsendt et forslag til oppsummering av diskusjonen om splitting av design og håndverk som rådet har gitt tilbakemeldinger på. Dokumentet, med endringer</w:t>
      </w:r>
      <w:r>
        <w:rPr>
          <w:rFonts w:ascii="Verdana" w:hAnsi="Verdana"/>
        </w:rPr>
        <w:t>,</w:t>
      </w:r>
      <w:r w:rsidR="00E37AFC">
        <w:rPr>
          <w:rFonts w:ascii="Verdana" w:hAnsi="Verdana"/>
        </w:rPr>
        <w:t xml:space="preserve"> ligger vedlagt innkallingen.  </w:t>
      </w:r>
    </w:p>
    <w:p w:rsidR="00925D5B" w:rsidRPr="00925D5B" w:rsidRDefault="00925D5B" w:rsidP="00925D5B">
      <w:pPr>
        <w:pStyle w:val="Listeavsnitt"/>
        <w:rPr>
          <w:rFonts w:ascii="Verdana" w:hAnsi="Verdana"/>
        </w:rPr>
      </w:pPr>
    </w:p>
    <w:p w:rsidR="00EB6411" w:rsidRDefault="00925D5B" w:rsidP="00925D5B">
      <w:pPr>
        <w:pStyle w:val="Listeavsnitt"/>
        <w:numPr>
          <w:ilvl w:val="0"/>
          <w:numId w:val="4"/>
        </w:numPr>
        <w:rPr>
          <w:rFonts w:ascii="Verdana" w:hAnsi="Verdana"/>
        </w:rPr>
      </w:pPr>
      <w:r w:rsidRPr="00925D5B">
        <w:rPr>
          <w:rFonts w:ascii="Verdana" w:hAnsi="Verdana"/>
        </w:rPr>
        <w:t>Vurdere behov for kompetansemiljøer, regionale sentre eller lignende. Definere og drøfte struktur og organisering.</w:t>
      </w:r>
    </w:p>
    <w:p w:rsidR="00EB6411" w:rsidRPr="00EB6411" w:rsidRDefault="00EB6411" w:rsidP="00EB6411">
      <w:pPr>
        <w:pStyle w:val="Listeavsnitt"/>
        <w:rPr>
          <w:rFonts w:ascii="Verdana" w:hAnsi="Verdana"/>
        </w:rPr>
      </w:pPr>
    </w:p>
    <w:p w:rsidR="00925D5B" w:rsidRDefault="00925D5B" w:rsidP="00EB6411">
      <w:pPr>
        <w:pStyle w:val="Listeavsnitt"/>
        <w:rPr>
          <w:rFonts w:ascii="Verdana" w:hAnsi="Verdana"/>
        </w:rPr>
      </w:pPr>
      <w:r>
        <w:rPr>
          <w:rFonts w:ascii="Verdana" w:hAnsi="Verdana"/>
        </w:rPr>
        <w:t xml:space="preserve">AUs innstilling: Rådet ønsker primært at alle </w:t>
      </w:r>
      <w:r w:rsidR="00EB6411">
        <w:rPr>
          <w:rFonts w:ascii="Verdana" w:hAnsi="Verdana"/>
        </w:rPr>
        <w:t>nye utdanningsprogram</w:t>
      </w:r>
      <w:r>
        <w:rPr>
          <w:rFonts w:ascii="Verdana" w:hAnsi="Verdana"/>
        </w:rPr>
        <w:t xml:space="preserve"> tilbys i alle fylker </w:t>
      </w:r>
      <w:r w:rsidR="00541A36">
        <w:rPr>
          <w:rFonts w:ascii="Verdana" w:hAnsi="Verdana"/>
        </w:rPr>
        <w:t xml:space="preserve">og tror at det vil være gjennomførbart. Likevel, prinsippet om at alle Vg1 skal finnes i alle fylker bør ikke gå foran faglige argumenter for oppdeling av utdanningsprogrammet.  </w:t>
      </w:r>
    </w:p>
    <w:p w:rsidR="00925D5B" w:rsidRPr="00925D5B" w:rsidRDefault="00925D5B" w:rsidP="00925D5B">
      <w:pPr>
        <w:pStyle w:val="Listeavsnitt"/>
        <w:rPr>
          <w:rFonts w:ascii="Verdana" w:hAnsi="Verdana"/>
        </w:rPr>
      </w:pPr>
    </w:p>
    <w:p w:rsidR="00925D5B" w:rsidRPr="00925D5B" w:rsidRDefault="00925D5B" w:rsidP="00925D5B">
      <w:pPr>
        <w:pStyle w:val="Listeavsnitt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 xml:space="preserve">Hvis tid, starte diskusjonen om plassering av enkeltfag i ny struktur. </w:t>
      </w:r>
    </w:p>
    <w:p w:rsidR="00E37AFC" w:rsidRDefault="00E37AFC" w:rsidP="001D3734">
      <w:pPr>
        <w:rPr>
          <w:rFonts w:ascii="Verdana" w:hAnsi="Verdana"/>
        </w:rPr>
      </w:pPr>
    </w:p>
    <w:p w:rsidR="001113C8" w:rsidRDefault="00EA25D4" w:rsidP="001D373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541A36">
        <w:rPr>
          <w:rFonts w:ascii="Verdana" w:hAnsi="Verdana"/>
          <w:b/>
        </w:rPr>
        <w:t xml:space="preserve">5-16 </w:t>
      </w:r>
      <w:r w:rsidR="00B41324">
        <w:rPr>
          <w:rFonts w:ascii="Verdana" w:hAnsi="Verdana"/>
          <w:b/>
        </w:rPr>
        <w:t>Høring om praksisbrevordningen</w:t>
      </w:r>
    </w:p>
    <w:p w:rsidR="00B41324" w:rsidRPr="00B41324" w:rsidRDefault="00B41324" w:rsidP="00B41324">
      <w:pPr>
        <w:rPr>
          <w:rFonts w:ascii="Verdana" w:hAnsi="Verdana"/>
        </w:rPr>
      </w:pPr>
      <w:r w:rsidRPr="00B41324">
        <w:rPr>
          <w:rFonts w:ascii="Verdana" w:hAnsi="Verdana"/>
        </w:rPr>
        <w:t>Høringen er forslag til endringer i forskrift til opplæringsloven og nasjonale rammer for lokal utvikling av læreplaner for praksisbrev.</w:t>
      </w:r>
      <w:r>
        <w:rPr>
          <w:rFonts w:ascii="Verdana" w:hAnsi="Verdana"/>
        </w:rPr>
        <w:t xml:space="preserve"> </w:t>
      </w:r>
      <w:r w:rsidRPr="00B41324">
        <w:rPr>
          <w:rFonts w:ascii="Verdana" w:hAnsi="Verdana"/>
        </w:rPr>
        <w:t>Praksisbrevordningen foreslås innført som et supplement til ordinær yrkesfaglig videregående opplæring. Det innebærer at praksisbrevordning, praksisbrevkandidat og praksisbrevprøve innføres som nye betegnelser i lov og forskrift.</w:t>
      </w:r>
      <w:r>
        <w:rPr>
          <w:rFonts w:ascii="Verdana" w:hAnsi="Verdana"/>
        </w:rPr>
        <w:t xml:space="preserve"> </w:t>
      </w:r>
      <w:r w:rsidRPr="00B41324">
        <w:rPr>
          <w:rFonts w:ascii="Verdana" w:hAnsi="Verdana"/>
        </w:rPr>
        <w:t>Høringsfristen er 11. april 2016.</w:t>
      </w:r>
      <w:r>
        <w:rPr>
          <w:rFonts w:ascii="Verdana" w:hAnsi="Verdana"/>
        </w:rPr>
        <w:t xml:space="preserve"> </w:t>
      </w:r>
      <w:r w:rsidRPr="00B41324">
        <w:rPr>
          <w:rFonts w:ascii="Verdana" w:hAnsi="Verdana"/>
        </w:rPr>
        <w:t>Les mer og svar på høringen her:</w:t>
      </w:r>
    </w:p>
    <w:p w:rsidR="00B41324" w:rsidRDefault="00E91737" w:rsidP="00B41324">
      <w:pPr>
        <w:rPr>
          <w:rFonts w:ascii="Verdana" w:hAnsi="Verdana"/>
        </w:rPr>
      </w:pPr>
      <w:hyperlink r:id="rId8" w:history="1">
        <w:r w:rsidR="00B41324" w:rsidRPr="00BB4548">
          <w:rPr>
            <w:rStyle w:val="Hyperkobling"/>
            <w:rFonts w:ascii="Verdana" w:hAnsi="Verdana"/>
          </w:rPr>
          <w:t>http://www.udir.no/Regelverk/Horinger/Saker-ute-pa-horing/horing-om-praksisbrevordningen/</w:t>
        </w:r>
      </w:hyperlink>
      <w:r w:rsidR="00B41324">
        <w:rPr>
          <w:rFonts w:ascii="Verdana" w:hAnsi="Verdana"/>
        </w:rPr>
        <w:t xml:space="preserve"> </w:t>
      </w:r>
    </w:p>
    <w:p w:rsidR="00B41324" w:rsidRDefault="00B41324" w:rsidP="00B41324">
      <w:pPr>
        <w:rPr>
          <w:rFonts w:ascii="Verdana" w:hAnsi="Verdana"/>
        </w:rPr>
      </w:pPr>
    </w:p>
    <w:p w:rsidR="00B41324" w:rsidRPr="00B41324" w:rsidRDefault="00EB6411" w:rsidP="00B41324">
      <w:pPr>
        <w:rPr>
          <w:rFonts w:ascii="Verdana" w:hAnsi="Verdana"/>
        </w:rPr>
      </w:pPr>
      <w:r>
        <w:rPr>
          <w:rFonts w:ascii="Verdana" w:hAnsi="Verdana"/>
        </w:rPr>
        <w:t>AU</w:t>
      </w:r>
      <w:r w:rsidR="00B41324">
        <w:rPr>
          <w:rFonts w:ascii="Verdana" w:hAnsi="Verdana"/>
        </w:rPr>
        <w:t>s innstilling: se vedlegg.</w:t>
      </w:r>
    </w:p>
    <w:p w:rsidR="00B41324" w:rsidRDefault="00B41324" w:rsidP="001D3734">
      <w:pPr>
        <w:rPr>
          <w:rFonts w:ascii="Verdana" w:hAnsi="Verdana"/>
          <w:b/>
        </w:rPr>
      </w:pPr>
    </w:p>
    <w:p w:rsidR="004D391B" w:rsidRPr="00EA25D4" w:rsidRDefault="004D391B" w:rsidP="001D3734">
      <w:pPr>
        <w:rPr>
          <w:rFonts w:ascii="Verdana" w:hAnsi="Verdana"/>
          <w:b/>
        </w:rPr>
      </w:pPr>
      <w:r w:rsidRPr="00EA25D4">
        <w:rPr>
          <w:rFonts w:ascii="Verdana" w:hAnsi="Verdana"/>
          <w:b/>
        </w:rPr>
        <w:t>Orienteringssaker</w:t>
      </w:r>
    </w:p>
    <w:p w:rsidR="00857109" w:rsidRPr="004D391B" w:rsidRDefault="00857109" w:rsidP="007D1BB9">
      <w:pPr>
        <w:pStyle w:val="Listeavsnitt"/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781"/>
      </w:tblGrid>
      <w:tr w:rsidR="00E47BC3" w:rsidRPr="00EC47F2" w:rsidTr="00E47BC3">
        <w:tc>
          <w:tcPr>
            <w:tcW w:w="9781" w:type="dxa"/>
          </w:tcPr>
          <w:p w:rsidR="00E47BC3" w:rsidRPr="00E47BC3" w:rsidRDefault="00E47BC3" w:rsidP="00E47BC3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47BC3">
              <w:rPr>
                <w:rFonts w:ascii="Verdana" w:hAnsi="Verdana"/>
              </w:rPr>
              <w:t xml:space="preserve">Rådsmøte, dialogmøte og arbeidsmøte 14. og 15. mars. </w:t>
            </w:r>
          </w:p>
          <w:p w:rsidR="00E47BC3" w:rsidRDefault="00E47BC3" w:rsidP="00E47BC3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E47BC3">
              <w:rPr>
                <w:rFonts w:ascii="Verdana" w:hAnsi="Verdana"/>
              </w:rPr>
              <w:t xml:space="preserve">Fylkestur til Nordland høsten </w:t>
            </w:r>
            <w:r>
              <w:rPr>
                <w:rFonts w:ascii="Verdana" w:hAnsi="Verdana"/>
              </w:rPr>
              <w:t>2016.02.08</w:t>
            </w:r>
            <w:r w:rsidR="00EB6411">
              <w:rPr>
                <w:rFonts w:ascii="Verdana" w:hAnsi="Verdana"/>
              </w:rPr>
              <w:t>.</w:t>
            </w:r>
          </w:p>
          <w:p w:rsidR="00E47BC3" w:rsidRDefault="00E47BC3" w:rsidP="00E47BC3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Orientering om kryssløp fra Vg2 design og tekstil til Vg3 </w:t>
            </w:r>
            <w:proofErr w:type="spellStart"/>
            <w:r>
              <w:rPr>
                <w:rFonts w:ascii="Verdana" w:hAnsi="Verdana"/>
              </w:rPr>
              <w:t>industrisøm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E47BC3" w:rsidRDefault="00B41324" w:rsidP="00E47BC3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Janne og Gunleik orienterer fra møte med arbeidsgruppe i FRSS. </w:t>
            </w:r>
          </w:p>
          <w:p w:rsidR="00B41324" w:rsidRDefault="00B41324" w:rsidP="00E47BC3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Endringer i listen for små verneverdige fag.</w:t>
            </w:r>
          </w:p>
          <w:p w:rsidR="00B41324" w:rsidRDefault="00B41324" w:rsidP="00E47BC3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Fellesmøte mellom faglige råd og SRY 17. februar</w:t>
            </w:r>
            <w:r w:rsidR="00EB6411">
              <w:rPr>
                <w:rFonts w:ascii="Verdana" w:hAnsi="Verdana"/>
              </w:rPr>
              <w:t>.</w:t>
            </w:r>
          </w:p>
          <w:p w:rsidR="00B41324" w:rsidRPr="00A14B82" w:rsidRDefault="00B41324" w:rsidP="00A14B82">
            <w:pPr>
              <w:pStyle w:val="Listeavsnitt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</w:t>
            </w:r>
            <w:r w:rsidR="00A14B82">
              <w:rPr>
                <w:rFonts w:ascii="Verdana" w:hAnsi="Verdana"/>
              </w:rPr>
              <w:t>rientering fra Utviklingsnett-se</w:t>
            </w:r>
            <w:r>
              <w:rPr>
                <w:rFonts w:ascii="Verdana" w:hAnsi="Verdana"/>
              </w:rPr>
              <w:t xml:space="preserve">minar på Røros 8. og 9. februar. </w:t>
            </w:r>
          </w:p>
        </w:tc>
      </w:tr>
      <w:tr w:rsidR="00E47BC3" w:rsidRPr="00EC47F2" w:rsidTr="00E47BC3">
        <w:tc>
          <w:tcPr>
            <w:tcW w:w="9781" w:type="dxa"/>
          </w:tcPr>
          <w:p w:rsidR="00E47BC3" w:rsidRPr="00EC47F2" w:rsidRDefault="00E47BC3">
            <w:pPr>
              <w:rPr>
                <w:rFonts w:ascii="Verdana" w:hAnsi="Verdana"/>
              </w:rPr>
            </w:pPr>
          </w:p>
        </w:tc>
      </w:tr>
      <w:tr w:rsidR="00E47BC3" w:rsidRPr="00EC47F2" w:rsidTr="00E47BC3">
        <w:tc>
          <w:tcPr>
            <w:tcW w:w="9781" w:type="dxa"/>
          </w:tcPr>
          <w:p w:rsidR="00E47BC3" w:rsidRPr="00511F83" w:rsidRDefault="00E47BC3">
            <w:pPr>
              <w:rPr>
                <w:rFonts w:ascii="Verdana" w:hAnsi="Verdana"/>
                <w:b/>
              </w:rPr>
            </w:pPr>
            <w:r w:rsidRPr="00511F83">
              <w:rPr>
                <w:rFonts w:ascii="Verdana" w:hAnsi="Verdana"/>
                <w:b/>
              </w:rPr>
              <w:t>Eventuelt</w:t>
            </w:r>
          </w:p>
        </w:tc>
      </w:tr>
    </w:tbl>
    <w:p w:rsidR="005C61D5" w:rsidRPr="00EC47F2" w:rsidRDefault="005C61D5" w:rsidP="00131619">
      <w:pPr>
        <w:rPr>
          <w:rFonts w:ascii="Verdana" w:hAnsi="Verdana"/>
        </w:rPr>
      </w:pPr>
      <w:bookmarkStart w:id="10" w:name="EksterneKopiTilTabell"/>
      <w:bookmarkStart w:id="11" w:name="InternKopiTilTabell"/>
      <w:bookmarkEnd w:id="10"/>
      <w:bookmarkEnd w:id="11"/>
    </w:p>
    <w:sectPr w:rsidR="005C61D5" w:rsidRPr="00EC47F2" w:rsidSect="00D916BC">
      <w:headerReference w:type="default" r:id="rId9"/>
      <w:footerReference w:type="first" r:id="rId10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>
      <w:r>
        <w:separator/>
      </w:r>
    </w:p>
  </w:endnote>
  <w:endnote w:type="continuationSeparator" w:id="0">
    <w:p w:rsidR="00C7392C" w:rsidRDefault="00C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>
      <w:r>
        <w:separator/>
      </w:r>
    </w:p>
  </w:footnote>
  <w:footnote w:type="continuationSeparator" w:id="0">
    <w:p w:rsidR="00C7392C" w:rsidRDefault="00C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EB6411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EB6411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465E8A"/>
    <w:multiLevelType w:val="hybridMultilevel"/>
    <w:tmpl w:val="EB5247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6323"/>
    <w:multiLevelType w:val="hybridMultilevel"/>
    <w:tmpl w:val="7D14F9A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60B41"/>
    <w:rsid w:val="00073E68"/>
    <w:rsid w:val="000763FF"/>
    <w:rsid w:val="00076BCF"/>
    <w:rsid w:val="00087243"/>
    <w:rsid w:val="00087A91"/>
    <w:rsid w:val="000C57C6"/>
    <w:rsid w:val="000E3136"/>
    <w:rsid w:val="000F7390"/>
    <w:rsid w:val="001113C8"/>
    <w:rsid w:val="00131619"/>
    <w:rsid w:val="00136E1C"/>
    <w:rsid w:val="00136E8E"/>
    <w:rsid w:val="001A14CD"/>
    <w:rsid w:val="001A4B3E"/>
    <w:rsid w:val="001A7556"/>
    <w:rsid w:val="001D3734"/>
    <w:rsid w:val="00285CD5"/>
    <w:rsid w:val="002D5603"/>
    <w:rsid w:val="00310AE6"/>
    <w:rsid w:val="0032576C"/>
    <w:rsid w:val="0033328D"/>
    <w:rsid w:val="003520E8"/>
    <w:rsid w:val="003849B4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C23C7"/>
    <w:rsid w:val="004D391B"/>
    <w:rsid w:val="004F046B"/>
    <w:rsid w:val="00511424"/>
    <w:rsid w:val="00511F83"/>
    <w:rsid w:val="0053479C"/>
    <w:rsid w:val="0053560E"/>
    <w:rsid w:val="00541A36"/>
    <w:rsid w:val="0059256B"/>
    <w:rsid w:val="005C33C2"/>
    <w:rsid w:val="005C61D5"/>
    <w:rsid w:val="005C693E"/>
    <w:rsid w:val="0068578C"/>
    <w:rsid w:val="00696986"/>
    <w:rsid w:val="006A6BA3"/>
    <w:rsid w:val="006D18CC"/>
    <w:rsid w:val="00726B30"/>
    <w:rsid w:val="0075088D"/>
    <w:rsid w:val="0075499E"/>
    <w:rsid w:val="00764239"/>
    <w:rsid w:val="007A290A"/>
    <w:rsid w:val="007A3D6F"/>
    <w:rsid w:val="007B795F"/>
    <w:rsid w:val="007D1BB9"/>
    <w:rsid w:val="007E1BD2"/>
    <w:rsid w:val="008229CE"/>
    <w:rsid w:val="00857109"/>
    <w:rsid w:val="00877FB1"/>
    <w:rsid w:val="008A2E98"/>
    <w:rsid w:val="008D50BC"/>
    <w:rsid w:val="008D6936"/>
    <w:rsid w:val="00914481"/>
    <w:rsid w:val="0092368C"/>
    <w:rsid w:val="00925D5B"/>
    <w:rsid w:val="00954DB5"/>
    <w:rsid w:val="00970598"/>
    <w:rsid w:val="00974325"/>
    <w:rsid w:val="009A199E"/>
    <w:rsid w:val="009D3A38"/>
    <w:rsid w:val="009D5A07"/>
    <w:rsid w:val="00A059C8"/>
    <w:rsid w:val="00A14B82"/>
    <w:rsid w:val="00AC3B85"/>
    <w:rsid w:val="00B31B35"/>
    <w:rsid w:val="00B41324"/>
    <w:rsid w:val="00BB59B1"/>
    <w:rsid w:val="00BB7E5D"/>
    <w:rsid w:val="00BD349E"/>
    <w:rsid w:val="00BE406B"/>
    <w:rsid w:val="00BE7A5E"/>
    <w:rsid w:val="00BF552C"/>
    <w:rsid w:val="00C00619"/>
    <w:rsid w:val="00C01DDE"/>
    <w:rsid w:val="00C674A2"/>
    <w:rsid w:val="00C7392C"/>
    <w:rsid w:val="00C91567"/>
    <w:rsid w:val="00CA3BB5"/>
    <w:rsid w:val="00CC18CD"/>
    <w:rsid w:val="00CF6312"/>
    <w:rsid w:val="00D27CCB"/>
    <w:rsid w:val="00D84306"/>
    <w:rsid w:val="00D916BC"/>
    <w:rsid w:val="00DA1184"/>
    <w:rsid w:val="00DC3002"/>
    <w:rsid w:val="00DF49B1"/>
    <w:rsid w:val="00E364C2"/>
    <w:rsid w:val="00E37AFC"/>
    <w:rsid w:val="00E47BC3"/>
    <w:rsid w:val="00E736AF"/>
    <w:rsid w:val="00E83F23"/>
    <w:rsid w:val="00E91737"/>
    <w:rsid w:val="00EA25D4"/>
    <w:rsid w:val="00EB6411"/>
    <w:rsid w:val="00EC3484"/>
    <w:rsid w:val="00EC47F2"/>
    <w:rsid w:val="00F16949"/>
    <w:rsid w:val="00F557A9"/>
    <w:rsid w:val="00F6763E"/>
    <w:rsid w:val="00F74B5E"/>
    <w:rsid w:val="00F74D12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Regelverk/Horinger/Saker-ute-pa-horing/horing-om-praksisbrevordning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2310</Characters>
  <Application>Microsoft Office Word</Application>
  <DocSecurity>4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2</cp:revision>
  <cp:lastPrinted>2010-06-16T12:59:00Z</cp:lastPrinted>
  <dcterms:created xsi:type="dcterms:W3CDTF">2016-11-04T09:28:00Z</dcterms:created>
  <dcterms:modified xsi:type="dcterms:W3CDTF">2016-11-04T09:28:00Z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